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</w:pPr>
      <w:r>
        <w:t xml:space="preserve"> Переход на электронные накладные: что важно знать аграриям!</w:t>
      </w:r>
    </w:p>
    <w:p w14:paraId="02000000"/>
    <w:p w14:paraId="03000000">
      <w:pPr>
        <w:ind w:firstLine="709"/>
      </w:pPr>
      <w:r>
        <w:t>С 1 сентября 2026 года бумажные транспортные накладные уходят в прошлое. Федеральный закон № 140-ФЗ делает электронный формат (ЭТрН) обязательным.</w:t>
      </w:r>
    </w:p>
    <w:p w14:paraId="04000000"/>
    <w:p w14:paraId="05000000">
      <w:pPr>
        <w:ind w:firstLine="709"/>
      </w:pPr>
      <w:r>
        <w:t>Это касается всех участников перевозок АПК Белокалитвинского района.</w:t>
      </w:r>
    </w:p>
    <w:p w14:paraId="06000000">
      <w:r>
        <w:t>Готовьте учётные системы заранее, чтобы избежать простоев!</w:t>
      </w:r>
    </w:p>
    <w:p w14:paraId="07000000"/>
    <w:p w14:paraId="08000000">
      <w:pPr>
        <w:ind w:firstLine="709"/>
      </w:pPr>
      <w:r>
        <w:t xml:space="preserve">Для этого Минтранс России подготовил видеоинструкции о том, как безболезненно перейти на новый формат учёта </w:t>
      </w:r>
      <w:r>
        <w:t>(https://disk.yandex.ru/i/8Qh6e90YaDN59Q).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2026-08-20T09:56:10Z</dcterms:created>
  <dcterms:modified xsi:type="dcterms:W3CDTF">2026-08-20T09:56:10Z</dcterms:modified>
</cp:coreProperties>
</file>