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Отчет о ходе исполнения </w:t>
      </w:r>
      <w:r>
        <w:rPr>
          <w:b w:val="1"/>
          <w:sz w:val="28"/>
        </w:rPr>
        <w:t>в</w:t>
      </w:r>
      <w:r>
        <w:rPr>
          <w:b w:val="1"/>
          <w:sz w:val="28"/>
        </w:rPr>
        <w:t xml:space="preserve"> 20</w:t>
      </w:r>
      <w:r>
        <w:rPr>
          <w:b w:val="1"/>
          <w:sz w:val="28"/>
        </w:rPr>
        <w:t>25</w:t>
      </w:r>
      <w:r>
        <w:rPr>
          <w:b w:val="1"/>
          <w:sz w:val="28"/>
        </w:rPr>
        <w:t xml:space="preserve"> год</w:t>
      </w:r>
      <w:r>
        <w:rPr>
          <w:b w:val="1"/>
          <w:sz w:val="28"/>
        </w:rPr>
        <w:t>у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Плана мероприятий по </w:t>
      </w:r>
      <w:r>
        <w:rPr>
          <w:b w:val="1"/>
          <w:sz w:val="28"/>
        </w:rPr>
        <w:t xml:space="preserve">    </w:t>
      </w:r>
      <w:r>
        <w:rPr>
          <w:b w:val="1"/>
          <w:sz w:val="28"/>
        </w:rPr>
        <w:t>реализации Стратегии социально-экономического развития</w:t>
      </w:r>
      <w:r>
        <w:rPr>
          <w:b w:val="1"/>
          <w:sz w:val="28"/>
        </w:rPr>
        <w:t xml:space="preserve"> Белокалитвинского района до 2030 года</w:t>
      </w:r>
    </w:p>
    <w:p w14:paraId="04000000">
      <w:pPr>
        <w:widowControl w:val="1"/>
        <w:ind w:firstLine="708"/>
        <w:jc w:val="both"/>
        <w:rPr>
          <w:sz w:val="28"/>
        </w:rPr>
      </w:pPr>
    </w:p>
    <w:p w14:paraId="05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Основным документом, определяющим приоритеты, цели и задачи Белокалитвинского</w:t>
      </w:r>
      <w:r>
        <w:rPr>
          <w:sz w:val="28"/>
        </w:rPr>
        <w:t xml:space="preserve"> района</w:t>
      </w:r>
      <w:r>
        <w:rPr>
          <w:sz w:val="28"/>
        </w:rPr>
        <w:t xml:space="preserve"> на долгосрочный период является Стратегия социально-экономического развития Белокалитвинского</w:t>
      </w:r>
      <w:r>
        <w:rPr>
          <w:sz w:val="28"/>
        </w:rPr>
        <w:t xml:space="preserve"> района</w:t>
      </w:r>
      <w:r>
        <w:rPr>
          <w:sz w:val="28"/>
        </w:rPr>
        <w:t xml:space="preserve"> </w:t>
      </w:r>
      <w:r>
        <w:rPr>
          <w:sz w:val="28"/>
        </w:rPr>
        <w:t xml:space="preserve">до </w:t>
      </w:r>
      <w:r>
        <w:rPr>
          <w:sz w:val="28"/>
        </w:rPr>
        <w:t>2030 год</w:t>
      </w:r>
      <w:r>
        <w:rPr>
          <w:sz w:val="28"/>
        </w:rPr>
        <w:t>а.</w:t>
      </w:r>
    </w:p>
    <w:p w14:paraId="06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Стратегия социально-экономического развития </w:t>
      </w:r>
      <w:r>
        <w:rPr>
          <w:sz w:val="28"/>
        </w:rPr>
        <w:t>Белокалитвинского</w:t>
      </w:r>
      <w:r>
        <w:rPr>
          <w:sz w:val="28"/>
        </w:rPr>
        <w:t xml:space="preserve"> </w:t>
      </w:r>
      <w:r>
        <w:rPr>
          <w:sz w:val="28"/>
        </w:rPr>
        <w:t>района до 203</w:t>
      </w:r>
      <w:r>
        <w:rPr>
          <w:sz w:val="28"/>
        </w:rPr>
        <w:t>0</w:t>
      </w:r>
      <w:r>
        <w:rPr>
          <w:sz w:val="28"/>
        </w:rPr>
        <w:t xml:space="preserve"> года (далее – Стратегия - 203</w:t>
      </w:r>
      <w:r>
        <w:rPr>
          <w:sz w:val="28"/>
        </w:rPr>
        <w:t>0</w:t>
      </w:r>
      <w:r>
        <w:rPr>
          <w:sz w:val="28"/>
        </w:rPr>
        <w:t xml:space="preserve">) утверждена </w:t>
      </w:r>
      <w:r>
        <w:rPr>
          <w:sz w:val="28"/>
        </w:rPr>
        <w:t>решением Со</w:t>
      </w:r>
      <w:r>
        <w:rPr>
          <w:sz w:val="28"/>
        </w:rPr>
        <w:t>брания</w:t>
      </w:r>
      <w:r>
        <w:rPr>
          <w:sz w:val="28"/>
        </w:rPr>
        <w:t xml:space="preserve"> депутатов </w:t>
      </w:r>
      <w:r>
        <w:rPr>
          <w:sz w:val="28"/>
        </w:rPr>
        <w:t xml:space="preserve">Белокалитвинского </w:t>
      </w:r>
      <w:r>
        <w:rPr>
          <w:sz w:val="28"/>
        </w:rPr>
        <w:t xml:space="preserve">района от </w:t>
      </w:r>
      <w:r>
        <w:rPr>
          <w:sz w:val="28"/>
        </w:rPr>
        <w:t>27</w:t>
      </w:r>
      <w:r>
        <w:rPr>
          <w:sz w:val="28"/>
        </w:rPr>
        <w:t>.1</w:t>
      </w:r>
      <w:r>
        <w:rPr>
          <w:sz w:val="28"/>
        </w:rPr>
        <w:t>2</w:t>
      </w:r>
      <w:r>
        <w:rPr>
          <w:sz w:val="28"/>
        </w:rPr>
        <w:t xml:space="preserve">.2018 № </w:t>
      </w:r>
      <w:r>
        <w:rPr>
          <w:sz w:val="28"/>
        </w:rPr>
        <w:t>283</w:t>
      </w:r>
      <w:r>
        <w:rPr>
          <w:sz w:val="28"/>
        </w:rPr>
        <w:t xml:space="preserve"> «</w:t>
      </w:r>
      <w:r>
        <w:rPr>
          <w:sz w:val="28"/>
        </w:rPr>
        <w:t>О Стратегии социально-экономического развития Белокалитвинского района на период до 2030 года</w:t>
      </w:r>
      <w:r>
        <w:rPr>
          <w:sz w:val="28"/>
        </w:rPr>
        <w:t>».</w:t>
      </w:r>
    </w:p>
    <w:p w14:paraId="07000000">
      <w:pPr>
        <w:widowControl w:val="1"/>
        <w:tabs>
          <w:tab w:leader="none" w:pos="851" w:val="left"/>
          <w:tab w:leader="none" w:pos="1134" w:val="left"/>
        </w:tabs>
        <w:ind w:firstLine="851"/>
        <w:jc w:val="both"/>
        <w:rPr>
          <w:sz w:val="28"/>
        </w:rPr>
      </w:pPr>
      <w:r>
        <w:rPr>
          <w:sz w:val="28"/>
        </w:rPr>
        <w:t>В целях реализации Стратегии - 203</w:t>
      </w:r>
      <w:r>
        <w:rPr>
          <w:sz w:val="28"/>
        </w:rPr>
        <w:t>0</w:t>
      </w:r>
      <w:r>
        <w:rPr>
          <w:sz w:val="28"/>
        </w:rPr>
        <w:t xml:space="preserve"> </w:t>
      </w:r>
      <w:r>
        <w:rPr>
          <w:sz w:val="28"/>
        </w:rPr>
        <w:t xml:space="preserve">в составе документа </w:t>
      </w:r>
      <w:r>
        <w:rPr>
          <w:sz w:val="28"/>
        </w:rPr>
        <w:t xml:space="preserve">утвержден План мероприятий по реализации стратегии социально-экономического развития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 до 2030</w:t>
      </w:r>
      <w:r>
        <w:rPr>
          <w:sz w:val="28"/>
        </w:rPr>
        <w:t xml:space="preserve"> года, в котором определены целевые показатели, характеризующие результаты реализации.</w:t>
      </w:r>
    </w:p>
    <w:p w14:paraId="08000000">
      <w:pPr>
        <w:widowControl w:val="1"/>
        <w:tabs>
          <w:tab w:leader="none" w:pos="851" w:val="left"/>
          <w:tab w:leader="none" w:pos="1134" w:val="left"/>
        </w:tabs>
        <w:ind w:firstLine="851"/>
        <w:jc w:val="both"/>
        <w:rPr>
          <w:sz w:val="28"/>
        </w:rPr>
      </w:pPr>
      <w:r>
        <w:rPr>
          <w:sz w:val="28"/>
        </w:rPr>
        <w:t xml:space="preserve">Реализация мероприятий осуществлялась в рамках </w:t>
      </w:r>
      <w:r>
        <w:rPr>
          <w:sz w:val="28"/>
        </w:rPr>
        <w:t>3</w:t>
      </w:r>
      <w:r>
        <w:rPr>
          <w:sz w:val="28"/>
        </w:rPr>
        <w:t xml:space="preserve"> стратегических направлений: «</w:t>
      </w:r>
      <w:r>
        <w:rPr>
          <w:sz w:val="28"/>
        </w:rPr>
        <w:t>Экономическая политика</w:t>
      </w:r>
      <w:r>
        <w:rPr>
          <w:sz w:val="28"/>
        </w:rPr>
        <w:t>», «</w:t>
      </w:r>
      <w:r>
        <w:rPr>
          <w:sz w:val="28"/>
        </w:rPr>
        <w:t>Социальная политика</w:t>
      </w:r>
      <w:r>
        <w:rPr>
          <w:sz w:val="28"/>
        </w:rPr>
        <w:t>», «</w:t>
      </w:r>
      <w:r>
        <w:rPr>
          <w:sz w:val="28"/>
        </w:rPr>
        <w:t>Пространственная политика</w:t>
      </w:r>
      <w:r>
        <w:rPr>
          <w:sz w:val="28"/>
        </w:rPr>
        <w:t>»,</w:t>
      </w:r>
      <w:r>
        <w:rPr>
          <w:sz w:val="28"/>
        </w:rPr>
        <w:t xml:space="preserve"> </w:t>
      </w:r>
      <w:r>
        <w:rPr>
          <w:sz w:val="28"/>
        </w:rPr>
        <w:t>решение которых направлено на достижение стратегической цели – обеспечение стабильного социально-экономического развития муниципального образования и повышение качества жизни населения.</w:t>
      </w:r>
    </w:p>
    <w:p w14:paraId="0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Основным инструментом, обеспечивающим реализацию социально-экономического развития </w:t>
      </w:r>
      <w:r>
        <w:rPr>
          <w:sz w:val="28"/>
        </w:rPr>
        <w:t>Белокалитвинского</w:t>
      </w:r>
      <w:r>
        <w:rPr>
          <w:sz w:val="28"/>
        </w:rPr>
        <w:t xml:space="preserve"> района, являются муниципальные программы, позволяющие с применением программно-целевого метода сконцентрировать усилия для комплексного и системного решения экономических и социальных задач.</w:t>
      </w:r>
    </w:p>
    <w:p w14:paraId="0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За отчетный период на территории района </w:t>
      </w:r>
      <w:r>
        <w:rPr>
          <w:sz w:val="28"/>
        </w:rPr>
        <w:t xml:space="preserve">в рамках программного планирования бюджета </w:t>
      </w:r>
      <w:r>
        <w:rPr>
          <w:sz w:val="28"/>
        </w:rPr>
        <w:t>осуществлялась реализация 2</w:t>
      </w:r>
      <w:r>
        <w:rPr>
          <w:sz w:val="28"/>
        </w:rPr>
        <w:t>3</w:t>
      </w:r>
      <w:r>
        <w:rPr>
          <w:sz w:val="28"/>
        </w:rPr>
        <w:t xml:space="preserve"> муниципальных программ</w:t>
      </w:r>
      <w:r>
        <w:rPr>
          <w:sz w:val="28"/>
        </w:rPr>
        <w:t xml:space="preserve">. </w:t>
      </w:r>
      <w:r>
        <w:rPr>
          <w:sz w:val="28"/>
        </w:rPr>
        <w:t xml:space="preserve">Общий объем </w:t>
      </w:r>
      <w:r>
        <w:rPr>
          <w:sz w:val="28"/>
        </w:rPr>
        <w:t xml:space="preserve">запланированных объемов </w:t>
      </w:r>
      <w:r>
        <w:rPr>
          <w:sz w:val="28"/>
        </w:rPr>
        <w:t xml:space="preserve">финансирования муниципальных программ составил </w:t>
      </w:r>
      <w:r>
        <w:rPr>
          <w:sz w:val="28"/>
        </w:rPr>
        <w:t>5698261,95</w:t>
      </w:r>
      <w:r>
        <w:rPr>
          <w:sz w:val="28"/>
        </w:rPr>
        <w:t xml:space="preserve"> </w:t>
      </w:r>
      <w:r>
        <w:rPr>
          <w:sz w:val="28"/>
        </w:rPr>
        <w:t>тыс.</w:t>
      </w:r>
      <w:r>
        <w:rPr>
          <w:sz w:val="28"/>
        </w:rPr>
        <w:t xml:space="preserve"> </w:t>
      </w:r>
      <w:r>
        <w:rPr>
          <w:sz w:val="28"/>
        </w:rPr>
        <w:t>рублей. Фактически в 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году освоено </w:t>
      </w:r>
      <w:r>
        <w:rPr>
          <w:sz w:val="28"/>
        </w:rPr>
        <w:t>5637017,55</w:t>
      </w:r>
      <w:r>
        <w:rPr>
          <w:sz w:val="28"/>
        </w:rPr>
        <w:t xml:space="preserve"> </w:t>
      </w:r>
      <w:r>
        <w:rPr>
          <w:sz w:val="28"/>
        </w:rPr>
        <w:t>тыс.</w:t>
      </w:r>
      <w:r>
        <w:rPr>
          <w:sz w:val="28"/>
        </w:rPr>
        <w:t xml:space="preserve"> </w:t>
      </w:r>
      <w:r>
        <w:rPr>
          <w:sz w:val="28"/>
        </w:rPr>
        <w:t xml:space="preserve">рублей бюджетных средств или </w:t>
      </w:r>
      <w:r>
        <w:rPr>
          <w:sz w:val="28"/>
        </w:rPr>
        <w:t>98</w:t>
      </w:r>
      <w:r>
        <w:rPr>
          <w:sz w:val="28"/>
        </w:rPr>
        <w:t>,</w:t>
      </w:r>
      <w:r>
        <w:rPr>
          <w:sz w:val="28"/>
        </w:rPr>
        <w:t>9</w:t>
      </w:r>
      <w:r>
        <w:rPr>
          <w:sz w:val="28"/>
        </w:rPr>
        <w:t xml:space="preserve"> </w:t>
      </w:r>
      <w:r>
        <w:rPr>
          <w:sz w:val="28"/>
        </w:rPr>
        <w:t>% от плана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                                                                          </w:t>
      </w:r>
    </w:p>
    <w:p w14:paraId="0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Показатели социально-экономического развития, предусмотренные Планом </w:t>
      </w:r>
      <w:r>
        <w:rPr>
          <w:sz w:val="28"/>
        </w:rPr>
        <w:t xml:space="preserve">мероприятий по реализации </w:t>
      </w:r>
      <w:r>
        <w:rPr>
          <w:sz w:val="28"/>
        </w:rPr>
        <w:t>С</w:t>
      </w:r>
      <w:r>
        <w:rPr>
          <w:sz w:val="28"/>
        </w:rPr>
        <w:t xml:space="preserve">тратегии социально-экономического развития </w:t>
      </w:r>
      <w:r>
        <w:rPr>
          <w:sz w:val="28"/>
        </w:rPr>
        <w:t xml:space="preserve">Белокалитвинского </w:t>
      </w:r>
      <w:r>
        <w:rPr>
          <w:sz w:val="28"/>
        </w:rPr>
        <w:t>района до 2030</w:t>
      </w:r>
      <w:r>
        <w:rPr>
          <w:sz w:val="28"/>
        </w:rPr>
        <w:t xml:space="preserve"> года, представлены в приложении к отчету.</w:t>
      </w:r>
    </w:p>
    <w:p w14:paraId="0C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Информация о ходе исполнения мероприятий Плана и достижения ожидаемых результатов реализации </w:t>
      </w:r>
      <w:r>
        <w:rPr>
          <w:sz w:val="28"/>
        </w:rPr>
        <w:t>С</w:t>
      </w:r>
      <w:r>
        <w:rPr>
          <w:sz w:val="28"/>
        </w:rPr>
        <w:t>трат</w:t>
      </w:r>
      <w:r>
        <w:rPr>
          <w:sz w:val="28"/>
        </w:rPr>
        <w:t xml:space="preserve">егии представлена в приложении </w:t>
      </w:r>
      <w:r>
        <w:rPr>
          <w:sz w:val="28"/>
        </w:rPr>
        <w:t xml:space="preserve">к Отчету. </w:t>
      </w:r>
    </w:p>
    <w:p w14:paraId="0D000000">
      <w:pPr>
        <w:widowControl w:val="1"/>
        <w:spacing w:line="276" w:lineRule="auto"/>
        <w:ind w:firstLine="709"/>
        <w:jc w:val="center"/>
        <w:rPr>
          <w:sz w:val="28"/>
        </w:rPr>
      </w:pPr>
    </w:p>
    <w:p w14:paraId="0E000000">
      <w:pPr>
        <w:widowControl w:val="1"/>
        <w:spacing w:line="276" w:lineRule="auto"/>
        <w:ind w:firstLine="709"/>
        <w:jc w:val="center"/>
        <w:rPr>
          <w:sz w:val="28"/>
        </w:rPr>
      </w:pPr>
    </w:p>
    <w:p w14:paraId="0F000000">
      <w:pPr>
        <w:widowControl w:val="1"/>
        <w:spacing w:line="276" w:lineRule="auto"/>
        <w:ind w:firstLine="709"/>
        <w:jc w:val="center"/>
        <w:rPr>
          <w:sz w:val="28"/>
        </w:rPr>
      </w:pPr>
    </w:p>
    <w:p w14:paraId="10000000">
      <w:pPr>
        <w:widowControl w:val="1"/>
        <w:spacing w:line="276" w:lineRule="auto"/>
        <w:ind w:firstLine="709"/>
        <w:jc w:val="center"/>
        <w:rPr>
          <w:sz w:val="28"/>
        </w:rPr>
      </w:pPr>
    </w:p>
    <w:p w14:paraId="11000000">
      <w:pPr>
        <w:sectPr>
          <w:footerReference r:id="rId2" w:type="default"/>
          <w:pgSz w:h="16838" w:orient="portrait" w:w="11906"/>
          <w:pgMar w:bottom="1134" w:footer="708" w:gutter="0" w:header="708" w:left="1701" w:right="850" w:top="1134"/>
        </w:sectPr>
      </w:pPr>
    </w:p>
    <w:p w14:paraId="12000000">
      <w:pPr>
        <w:widowControl w:val="1"/>
        <w:spacing w:line="276" w:lineRule="auto"/>
        <w:ind w:firstLine="709"/>
        <w:jc w:val="right"/>
        <w:rPr>
          <w:sz w:val="28"/>
        </w:rPr>
      </w:pPr>
      <w:r>
        <w:rPr>
          <w:sz w:val="28"/>
        </w:rPr>
        <w:t>Приложение</w:t>
      </w:r>
    </w:p>
    <w:p w14:paraId="13000000">
      <w:pPr>
        <w:widowControl w:val="1"/>
        <w:spacing w:line="276" w:lineRule="auto"/>
        <w:ind w:firstLine="709"/>
        <w:jc w:val="center"/>
        <w:rPr>
          <w:sz w:val="28"/>
        </w:rPr>
      </w:pPr>
    </w:p>
    <w:p w14:paraId="14000000">
      <w:pPr>
        <w:widowControl w:val="1"/>
        <w:spacing w:line="276" w:lineRule="auto"/>
        <w:ind w:firstLine="709"/>
        <w:jc w:val="center"/>
        <w:rPr>
          <w:sz w:val="28"/>
        </w:rPr>
      </w:pPr>
      <w:r>
        <w:rPr>
          <w:sz w:val="28"/>
        </w:rPr>
        <w:t xml:space="preserve">Основные целевые показатели Стратегии социально-экономического развития Белокалитвинского района </w:t>
      </w:r>
    </w:p>
    <w:p w14:paraId="15000000">
      <w:pPr>
        <w:widowControl w:val="1"/>
        <w:spacing w:line="276" w:lineRule="auto"/>
        <w:ind w:firstLine="709"/>
        <w:jc w:val="center"/>
        <w:rPr>
          <w:sz w:val="28"/>
        </w:rPr>
      </w:pPr>
      <w:r>
        <w:rPr>
          <w:sz w:val="28"/>
        </w:rPr>
        <w:t xml:space="preserve">до 2030 года </w:t>
      </w:r>
    </w:p>
    <w:tbl>
      <w:tblPr>
        <w:tblStyle w:val="Style_2"/>
        <w:tblW w:type="auto" w:w="0"/>
        <w:tblInd w:type="dxa" w:w="-289"/>
        <w:tblLayout w:type="fixed"/>
      </w:tblPr>
      <w:tblGrid>
        <w:gridCol w:w="915"/>
        <w:gridCol w:w="7136"/>
        <w:gridCol w:w="1884"/>
        <w:gridCol w:w="3022"/>
        <w:gridCol w:w="2364"/>
      </w:tblGrid>
      <w:tr>
        <w:trPr>
          <w:trHeight w:hRule="atLeast" w:val="552"/>
          <w:tblHeader/>
        </w:trPr>
        <w:tc>
          <w:tcPr>
            <w:tcW w:type="dxa" w:w="915"/>
            <w:vAlign w:val="center"/>
          </w:tcPr>
          <w:p w14:paraId="16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 п/п</w:t>
            </w:r>
          </w:p>
        </w:tc>
        <w:tc>
          <w:tcPr>
            <w:tcW w:type="dxa" w:w="7136"/>
            <w:vAlign w:val="center"/>
          </w:tcPr>
          <w:p w14:paraId="17000000">
            <w:pPr>
              <w:widowControl w:val="1"/>
              <w:ind w:hanging="5" w:left="-5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Целевые показатели</w:t>
            </w:r>
          </w:p>
        </w:tc>
        <w:tc>
          <w:tcPr>
            <w:tcW w:type="dxa" w:w="1884"/>
            <w:vAlign w:val="center"/>
          </w:tcPr>
          <w:p w14:paraId="18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Ед. изм.</w:t>
            </w:r>
          </w:p>
        </w:tc>
        <w:tc>
          <w:tcPr>
            <w:tcW w:type="dxa" w:w="3022"/>
            <w:vAlign w:val="center"/>
          </w:tcPr>
          <w:p w14:paraId="19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План до </w:t>
            </w:r>
            <w:r>
              <w:rPr>
                <w:b w:val="1"/>
                <w:sz w:val="24"/>
              </w:rPr>
              <w:t>2030</w:t>
            </w:r>
            <w:r>
              <w:rPr>
                <w:b w:val="1"/>
                <w:sz w:val="24"/>
              </w:rPr>
              <w:t xml:space="preserve"> года</w:t>
            </w:r>
          </w:p>
        </w:tc>
        <w:tc>
          <w:tcPr>
            <w:tcW w:type="dxa" w:w="2364"/>
            <w:vAlign w:val="center"/>
          </w:tcPr>
          <w:p w14:paraId="1A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Факт за 20</w:t>
            </w:r>
            <w:r>
              <w:rPr>
                <w:b w:val="1"/>
                <w:sz w:val="24"/>
              </w:rPr>
              <w:t>25</w:t>
            </w:r>
            <w:r>
              <w:rPr>
                <w:b w:val="1"/>
                <w:sz w:val="24"/>
              </w:rPr>
              <w:t xml:space="preserve"> год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1B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</w:t>
            </w:r>
          </w:p>
        </w:tc>
        <w:tc>
          <w:tcPr>
            <w:tcW w:type="dxa" w:w="7136"/>
            <w:vAlign w:val="center"/>
          </w:tcPr>
          <w:p w14:paraId="1C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Экономическая политика</w:t>
            </w:r>
          </w:p>
        </w:tc>
        <w:tc>
          <w:tcPr>
            <w:tcW w:type="dxa" w:w="1884"/>
            <w:vAlign w:val="center"/>
          </w:tcPr>
          <w:p w14:paraId="1D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1E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1F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20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1.1</w:t>
            </w:r>
          </w:p>
        </w:tc>
        <w:tc>
          <w:tcPr>
            <w:tcW w:type="dxa" w:w="7136"/>
            <w:vAlign w:val="center"/>
          </w:tcPr>
          <w:p w14:paraId="21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Агропромышленный комплекс</w:t>
            </w:r>
          </w:p>
        </w:tc>
        <w:tc>
          <w:tcPr>
            <w:tcW w:type="dxa" w:w="1884"/>
            <w:vAlign w:val="center"/>
          </w:tcPr>
          <w:p w14:paraId="22000000">
            <w:pPr>
              <w:widowControl w:val="1"/>
              <w:ind w:hanging="16"/>
              <w:jc w:val="center"/>
              <w:rPr>
                <w:sz w:val="24"/>
              </w:rPr>
            </w:pPr>
          </w:p>
        </w:tc>
        <w:tc>
          <w:tcPr>
            <w:tcW w:type="dxa" w:w="3022"/>
            <w:vAlign w:val="center"/>
          </w:tcPr>
          <w:p w14:paraId="23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24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25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26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доли животноводства в структуре сельского хозяйства </w:t>
            </w:r>
          </w:p>
        </w:tc>
        <w:tc>
          <w:tcPr>
            <w:tcW w:type="dxa" w:w="1884"/>
            <w:vAlign w:val="center"/>
          </w:tcPr>
          <w:p w14:paraId="27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28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23,7</w:t>
            </w:r>
          </w:p>
        </w:tc>
        <w:tc>
          <w:tcPr>
            <w:tcW w:type="dxa" w:w="2364"/>
            <w:vAlign w:val="center"/>
          </w:tcPr>
          <w:p w14:paraId="2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38,9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2A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2B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Рост объема производства валовой продукции сельского хозяйства </w:t>
            </w:r>
          </w:p>
        </w:tc>
        <w:tc>
          <w:tcPr>
            <w:tcW w:type="dxa" w:w="1884"/>
            <w:vAlign w:val="center"/>
          </w:tcPr>
          <w:p w14:paraId="2C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млрд руб.</w:t>
            </w:r>
          </w:p>
        </w:tc>
        <w:tc>
          <w:tcPr>
            <w:tcW w:type="dxa" w:w="3022"/>
            <w:vAlign w:val="center"/>
          </w:tcPr>
          <w:p w14:paraId="2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type="dxa" w:w="2364"/>
            <w:vAlign w:val="center"/>
          </w:tcPr>
          <w:p w14:paraId="2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2F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1.2</w:t>
            </w:r>
          </w:p>
        </w:tc>
        <w:tc>
          <w:tcPr>
            <w:tcW w:type="dxa" w:w="7136"/>
            <w:vAlign w:val="center"/>
          </w:tcPr>
          <w:p w14:paraId="30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Промышленность</w:t>
            </w:r>
          </w:p>
        </w:tc>
        <w:tc>
          <w:tcPr>
            <w:tcW w:type="dxa" w:w="1884"/>
            <w:vAlign w:val="center"/>
          </w:tcPr>
          <w:p w14:paraId="31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32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33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34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35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Рост удельного веса организаций, осуществлявших технологические инновации, в общем числе обследованных организаций</w:t>
            </w:r>
          </w:p>
        </w:tc>
        <w:tc>
          <w:tcPr>
            <w:tcW w:type="dxa" w:w="1884"/>
            <w:vAlign w:val="center"/>
          </w:tcPr>
          <w:p w14:paraId="36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37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type="dxa" w:w="2364"/>
            <w:vAlign w:val="center"/>
          </w:tcPr>
          <w:p w14:paraId="38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39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3A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Рост совокупного объема отгруженных товаров собственного производства, выполненных работ и услуг собственными силами по виду экономической деятельности «Обрабатывающие производства»</w:t>
            </w:r>
          </w:p>
        </w:tc>
        <w:tc>
          <w:tcPr>
            <w:tcW w:type="dxa" w:w="1884"/>
            <w:vAlign w:val="center"/>
          </w:tcPr>
          <w:p w14:paraId="3B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млрд руб.</w:t>
            </w:r>
          </w:p>
        </w:tc>
        <w:tc>
          <w:tcPr>
            <w:tcW w:type="dxa" w:w="3022"/>
            <w:vAlign w:val="center"/>
          </w:tcPr>
          <w:p w14:paraId="3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57,6</w:t>
            </w:r>
          </w:p>
        </w:tc>
        <w:tc>
          <w:tcPr>
            <w:tcW w:type="dxa" w:w="2364"/>
            <w:vAlign w:val="center"/>
          </w:tcPr>
          <w:p w14:paraId="3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42,3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3E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3F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Изменение добычи угля на угольных предприятиях</w:t>
            </w:r>
          </w:p>
        </w:tc>
        <w:tc>
          <w:tcPr>
            <w:tcW w:type="dxa" w:w="1884"/>
            <w:vAlign w:val="center"/>
          </w:tcPr>
          <w:p w14:paraId="40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млн тонн</w:t>
            </w:r>
          </w:p>
        </w:tc>
        <w:tc>
          <w:tcPr>
            <w:tcW w:type="dxa" w:w="3022"/>
            <w:vAlign w:val="center"/>
          </w:tcPr>
          <w:p w14:paraId="4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2364"/>
            <w:vAlign w:val="center"/>
          </w:tcPr>
          <w:p w14:paraId="4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43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1.3</w:t>
            </w:r>
          </w:p>
        </w:tc>
        <w:tc>
          <w:tcPr>
            <w:tcW w:type="dxa" w:w="7136"/>
            <w:vAlign w:val="center"/>
          </w:tcPr>
          <w:p w14:paraId="44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Строительный комплекс</w:t>
            </w:r>
          </w:p>
        </w:tc>
        <w:tc>
          <w:tcPr>
            <w:tcW w:type="dxa" w:w="1884"/>
            <w:vAlign w:val="center"/>
          </w:tcPr>
          <w:p w14:paraId="45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46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47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48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49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Увеличение ежегодных объемов жилищного строительства</w:t>
            </w:r>
          </w:p>
        </w:tc>
        <w:tc>
          <w:tcPr>
            <w:tcW w:type="dxa" w:w="1884"/>
            <w:vAlign w:val="center"/>
          </w:tcPr>
          <w:p w14:paraId="4A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тыс. кв. м</w:t>
            </w:r>
          </w:p>
        </w:tc>
        <w:tc>
          <w:tcPr>
            <w:tcW w:type="dxa" w:w="3022"/>
            <w:vAlign w:val="center"/>
          </w:tcPr>
          <w:p w14:paraId="4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type="dxa" w:w="2364"/>
            <w:vAlign w:val="center"/>
          </w:tcPr>
          <w:p w14:paraId="4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12,3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4D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4E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жилищного строительства по отношению к общей площади жилищного фонда</w:t>
            </w:r>
          </w:p>
        </w:tc>
        <w:tc>
          <w:tcPr>
            <w:tcW w:type="dxa" w:w="1884"/>
            <w:vAlign w:val="center"/>
          </w:tcPr>
          <w:p w14:paraId="4F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5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type="dxa" w:w="2364"/>
            <w:vAlign w:val="center"/>
          </w:tcPr>
          <w:p w14:paraId="5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52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1.4</w:t>
            </w:r>
          </w:p>
        </w:tc>
        <w:tc>
          <w:tcPr>
            <w:tcW w:type="dxa" w:w="7136"/>
            <w:vAlign w:val="center"/>
          </w:tcPr>
          <w:p w14:paraId="53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Малый и средний бизнес</w:t>
            </w:r>
          </w:p>
        </w:tc>
        <w:tc>
          <w:tcPr>
            <w:tcW w:type="dxa" w:w="1884"/>
            <w:vAlign w:val="center"/>
          </w:tcPr>
          <w:p w14:paraId="54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55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56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57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58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Увеличение численности занятых на малых и средних предприятиях</w:t>
            </w:r>
          </w:p>
        </w:tc>
        <w:tc>
          <w:tcPr>
            <w:tcW w:type="dxa" w:w="1884"/>
            <w:vAlign w:val="center"/>
          </w:tcPr>
          <w:p w14:paraId="59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тыс. </w:t>
            </w:r>
            <w:r>
              <w:rPr>
                <w:sz w:val="24"/>
              </w:rPr>
              <w:t>человек</w:t>
            </w:r>
          </w:p>
        </w:tc>
        <w:tc>
          <w:tcPr>
            <w:tcW w:type="dxa" w:w="3022"/>
            <w:vAlign w:val="center"/>
          </w:tcPr>
          <w:p w14:paraId="5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14,9</w:t>
            </w:r>
          </w:p>
        </w:tc>
        <w:tc>
          <w:tcPr>
            <w:tcW w:type="dxa" w:w="2364"/>
            <w:vAlign w:val="center"/>
          </w:tcPr>
          <w:p w14:paraId="5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5C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5D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численности занятых на малых и средних предприятия по виду экономической деятельности «Обрабатывающие производства» в общей численности занятых в сфере малого и среднего предпринимательства (без учета индивидуальных предпринимателей)</w:t>
            </w:r>
          </w:p>
        </w:tc>
        <w:tc>
          <w:tcPr>
            <w:tcW w:type="dxa" w:w="1884"/>
            <w:vAlign w:val="center"/>
          </w:tcPr>
          <w:p w14:paraId="5E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5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type="dxa" w:w="2364"/>
            <w:vAlign w:val="center"/>
          </w:tcPr>
          <w:p w14:paraId="6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24,3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61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1.5</w:t>
            </w:r>
          </w:p>
        </w:tc>
        <w:tc>
          <w:tcPr>
            <w:tcW w:type="dxa" w:w="7136"/>
            <w:vAlign w:val="center"/>
          </w:tcPr>
          <w:p w14:paraId="62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Потребительский рынок</w:t>
            </w:r>
          </w:p>
        </w:tc>
        <w:tc>
          <w:tcPr>
            <w:tcW w:type="dxa" w:w="1884"/>
            <w:vAlign w:val="center"/>
          </w:tcPr>
          <w:p w14:paraId="63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64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65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66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67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Рост оборота розничной торговли по всем каналам реализации</w:t>
            </w:r>
          </w:p>
        </w:tc>
        <w:tc>
          <w:tcPr>
            <w:tcW w:type="dxa" w:w="1884"/>
            <w:vAlign w:val="center"/>
          </w:tcPr>
          <w:p w14:paraId="68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млн. руб.</w:t>
            </w:r>
          </w:p>
        </w:tc>
        <w:tc>
          <w:tcPr>
            <w:tcW w:type="dxa" w:w="3022"/>
            <w:vAlign w:val="center"/>
          </w:tcPr>
          <w:p w14:paraId="6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18728,4</w:t>
            </w:r>
          </w:p>
        </w:tc>
        <w:tc>
          <w:tcPr>
            <w:tcW w:type="dxa" w:w="2364"/>
            <w:vAlign w:val="center"/>
          </w:tcPr>
          <w:p w14:paraId="6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19282,8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6B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6C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Рост оборота общественного питания</w:t>
            </w:r>
          </w:p>
        </w:tc>
        <w:tc>
          <w:tcPr>
            <w:tcW w:type="dxa" w:w="1884"/>
            <w:vAlign w:val="center"/>
          </w:tcPr>
          <w:p w14:paraId="6D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млн. руб.</w:t>
            </w:r>
          </w:p>
        </w:tc>
        <w:tc>
          <w:tcPr>
            <w:tcW w:type="dxa" w:w="3022"/>
            <w:vAlign w:val="center"/>
          </w:tcPr>
          <w:p w14:paraId="6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953,5</w:t>
            </w:r>
          </w:p>
        </w:tc>
        <w:tc>
          <w:tcPr>
            <w:tcW w:type="dxa" w:w="2364"/>
            <w:vAlign w:val="center"/>
          </w:tcPr>
          <w:p w14:paraId="6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1304,8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70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71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Рост доли инвестиций в основной капитал по виду экономической деятельности «Торговля оптовая и розничная; Ремонт автотранспортных средств и мотоциклов»</w:t>
            </w:r>
          </w:p>
        </w:tc>
        <w:tc>
          <w:tcPr>
            <w:tcW w:type="dxa" w:w="1884"/>
            <w:vAlign w:val="center"/>
          </w:tcPr>
          <w:p w14:paraId="72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73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  <w:tc>
          <w:tcPr>
            <w:tcW w:type="dxa" w:w="2364"/>
            <w:vAlign w:val="center"/>
          </w:tcPr>
          <w:p w14:paraId="7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75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1.6</w:t>
            </w:r>
          </w:p>
        </w:tc>
        <w:tc>
          <w:tcPr>
            <w:tcW w:type="dxa" w:w="7136"/>
            <w:vAlign w:val="center"/>
          </w:tcPr>
          <w:p w14:paraId="76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Инвестиционная деятельность</w:t>
            </w:r>
          </w:p>
        </w:tc>
        <w:tc>
          <w:tcPr>
            <w:tcW w:type="dxa" w:w="1884"/>
            <w:vAlign w:val="center"/>
          </w:tcPr>
          <w:p w14:paraId="77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78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79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7A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7B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Рост частных инвестиций в основной капитал</w:t>
            </w:r>
          </w:p>
        </w:tc>
        <w:tc>
          <w:tcPr>
            <w:tcW w:type="dxa" w:w="1884"/>
            <w:vAlign w:val="center"/>
          </w:tcPr>
          <w:p w14:paraId="7C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млрд. руб.</w:t>
            </w:r>
          </w:p>
        </w:tc>
        <w:tc>
          <w:tcPr>
            <w:tcW w:type="dxa" w:w="3022"/>
            <w:vAlign w:val="center"/>
          </w:tcPr>
          <w:p w14:paraId="7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type="dxa" w:w="2364"/>
            <w:vAlign w:val="center"/>
          </w:tcPr>
          <w:p w14:paraId="7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7F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80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Рост доли частных инвестиций</w:t>
            </w:r>
          </w:p>
        </w:tc>
        <w:tc>
          <w:tcPr>
            <w:tcW w:type="dxa" w:w="1884"/>
            <w:vAlign w:val="center"/>
          </w:tcPr>
          <w:p w14:paraId="81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8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88,0</w:t>
            </w:r>
          </w:p>
        </w:tc>
        <w:tc>
          <w:tcPr>
            <w:tcW w:type="dxa" w:w="2364"/>
            <w:vAlign w:val="center"/>
          </w:tcPr>
          <w:p w14:paraId="83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88,2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84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1.7</w:t>
            </w:r>
          </w:p>
        </w:tc>
        <w:tc>
          <w:tcPr>
            <w:tcW w:type="dxa" w:w="7136"/>
            <w:vAlign w:val="center"/>
          </w:tcPr>
          <w:p w14:paraId="85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Туристский потенциал территории</w:t>
            </w:r>
          </w:p>
        </w:tc>
        <w:tc>
          <w:tcPr>
            <w:tcW w:type="dxa" w:w="1884"/>
            <w:vAlign w:val="center"/>
          </w:tcPr>
          <w:p w14:paraId="86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87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88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89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8A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Рост численности турпотока</w:t>
            </w:r>
          </w:p>
        </w:tc>
        <w:tc>
          <w:tcPr>
            <w:tcW w:type="dxa" w:w="1884"/>
            <w:vAlign w:val="center"/>
          </w:tcPr>
          <w:p w14:paraId="8B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тыс. </w:t>
            </w:r>
            <w:r>
              <w:rPr>
                <w:sz w:val="24"/>
              </w:rPr>
              <w:t>человек</w:t>
            </w:r>
          </w:p>
        </w:tc>
        <w:tc>
          <w:tcPr>
            <w:tcW w:type="dxa" w:w="3022"/>
            <w:vAlign w:val="center"/>
          </w:tcPr>
          <w:p w14:paraId="8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type="dxa" w:w="2364"/>
            <w:vAlign w:val="center"/>
          </w:tcPr>
          <w:p w14:paraId="8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8E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8F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Рост доли объектов культурного наследия, находящихся в удовлетворительном состоянии от общего количества объектов</w:t>
            </w:r>
          </w:p>
        </w:tc>
        <w:tc>
          <w:tcPr>
            <w:tcW w:type="dxa" w:w="1884"/>
            <w:vAlign w:val="center"/>
          </w:tcPr>
          <w:p w14:paraId="90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9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type="dxa" w:w="2364"/>
            <w:vAlign w:val="center"/>
          </w:tcPr>
          <w:p w14:paraId="9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93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</w:t>
            </w:r>
          </w:p>
        </w:tc>
        <w:tc>
          <w:tcPr>
            <w:tcW w:type="dxa" w:w="7136"/>
            <w:vAlign w:val="center"/>
          </w:tcPr>
          <w:p w14:paraId="94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Социальная политика</w:t>
            </w:r>
          </w:p>
        </w:tc>
        <w:tc>
          <w:tcPr>
            <w:tcW w:type="dxa" w:w="1884"/>
            <w:vAlign w:val="center"/>
          </w:tcPr>
          <w:p w14:paraId="95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96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97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98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2.1</w:t>
            </w:r>
          </w:p>
        </w:tc>
        <w:tc>
          <w:tcPr>
            <w:tcW w:type="dxa" w:w="7136"/>
            <w:vAlign w:val="center"/>
          </w:tcPr>
          <w:p w14:paraId="99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Здравоохранение</w:t>
            </w:r>
          </w:p>
        </w:tc>
        <w:tc>
          <w:tcPr>
            <w:tcW w:type="dxa" w:w="1884"/>
            <w:vAlign w:val="center"/>
          </w:tcPr>
          <w:p w14:paraId="9A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9B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9C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9D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9E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смертности от всех причин </w:t>
            </w:r>
          </w:p>
        </w:tc>
        <w:tc>
          <w:tcPr>
            <w:tcW w:type="dxa" w:w="1884"/>
            <w:vAlign w:val="center"/>
          </w:tcPr>
          <w:p w14:paraId="9F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на 1 000 человек населения</w:t>
            </w:r>
          </w:p>
        </w:tc>
        <w:tc>
          <w:tcPr>
            <w:tcW w:type="dxa" w:w="3022"/>
            <w:vAlign w:val="center"/>
          </w:tcPr>
          <w:p w14:paraId="A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11,4</w:t>
            </w:r>
          </w:p>
        </w:tc>
        <w:tc>
          <w:tcPr>
            <w:tcW w:type="dxa" w:w="2364"/>
            <w:vAlign w:val="center"/>
          </w:tcPr>
          <w:p w14:paraId="A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17,2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A2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A3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Снижение смертности населения в трудоспособном возрасте</w:t>
            </w:r>
          </w:p>
        </w:tc>
        <w:tc>
          <w:tcPr>
            <w:tcW w:type="dxa" w:w="1884"/>
            <w:vAlign w:val="center"/>
          </w:tcPr>
          <w:p w14:paraId="A4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на 100 тыс. человек соответствующего возраста</w:t>
            </w:r>
          </w:p>
        </w:tc>
        <w:tc>
          <w:tcPr>
            <w:tcW w:type="dxa" w:w="3022"/>
            <w:vAlign w:val="center"/>
          </w:tcPr>
          <w:p w14:paraId="A5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245,0</w:t>
            </w:r>
          </w:p>
        </w:tc>
        <w:tc>
          <w:tcPr>
            <w:tcW w:type="dxa" w:w="2364"/>
            <w:vAlign w:val="center"/>
          </w:tcPr>
          <w:p w14:paraId="A6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740,1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A7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A8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Увеличение ожидаемой продолжительности здоровой жизни</w:t>
            </w:r>
          </w:p>
        </w:tc>
        <w:tc>
          <w:tcPr>
            <w:tcW w:type="dxa" w:w="1884"/>
            <w:vAlign w:val="center"/>
          </w:tcPr>
          <w:p w14:paraId="A9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type="dxa" w:w="3022"/>
            <w:vAlign w:val="center"/>
          </w:tcPr>
          <w:p w14:paraId="A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type="dxa" w:w="2364"/>
            <w:vAlign w:val="center"/>
          </w:tcPr>
          <w:p w14:paraId="A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73,5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AC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AD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Охват всех граждан профилактическими медицинскими осмотрами</w:t>
            </w:r>
          </w:p>
        </w:tc>
        <w:tc>
          <w:tcPr>
            <w:tcW w:type="dxa" w:w="1884"/>
            <w:vAlign w:val="center"/>
          </w:tcPr>
          <w:p w14:paraId="AE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A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type="dxa" w:w="2364"/>
            <w:vAlign w:val="center"/>
          </w:tcPr>
          <w:p w14:paraId="B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65,4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B1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2.2</w:t>
            </w:r>
          </w:p>
        </w:tc>
        <w:tc>
          <w:tcPr>
            <w:tcW w:type="dxa" w:w="7136"/>
            <w:vAlign w:val="center"/>
          </w:tcPr>
          <w:p w14:paraId="B2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Образование и наука</w:t>
            </w:r>
          </w:p>
        </w:tc>
        <w:tc>
          <w:tcPr>
            <w:tcW w:type="dxa" w:w="1884"/>
            <w:vAlign w:val="center"/>
          </w:tcPr>
          <w:p w14:paraId="B3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B4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B5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B6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B7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Рост численности обучающихся, принявших участие в олимпиадах регионального уровня, человек</w:t>
            </w:r>
          </w:p>
        </w:tc>
        <w:tc>
          <w:tcPr>
            <w:tcW w:type="dxa" w:w="1884"/>
            <w:vAlign w:val="center"/>
          </w:tcPr>
          <w:p w14:paraId="B8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3022"/>
            <w:vAlign w:val="center"/>
          </w:tcPr>
          <w:p w14:paraId="B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type="dxa" w:w="2364"/>
            <w:vAlign w:val="center"/>
          </w:tcPr>
          <w:p w14:paraId="B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BB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BC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удовлетворенности потребности в услугах дошкольного образования</w:t>
            </w:r>
          </w:p>
        </w:tc>
        <w:tc>
          <w:tcPr>
            <w:tcW w:type="dxa" w:w="1884"/>
            <w:vAlign w:val="center"/>
          </w:tcPr>
          <w:p w14:paraId="BD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B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2364"/>
            <w:vAlign w:val="center"/>
          </w:tcPr>
          <w:p w14:paraId="B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C0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C1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Повышение доли учителей, применяющих ресурсы Интернет в учебном процессе</w:t>
            </w:r>
          </w:p>
        </w:tc>
        <w:tc>
          <w:tcPr>
            <w:tcW w:type="dxa" w:w="1884"/>
            <w:vAlign w:val="center"/>
          </w:tcPr>
          <w:p w14:paraId="C2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C3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2364"/>
            <w:vAlign w:val="center"/>
          </w:tcPr>
          <w:p w14:paraId="C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C5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2.3</w:t>
            </w:r>
          </w:p>
        </w:tc>
        <w:tc>
          <w:tcPr>
            <w:tcW w:type="dxa" w:w="7136"/>
            <w:vAlign w:val="center"/>
          </w:tcPr>
          <w:p w14:paraId="C6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Культура</w:t>
            </w:r>
          </w:p>
        </w:tc>
        <w:tc>
          <w:tcPr>
            <w:tcW w:type="dxa" w:w="1884"/>
            <w:vAlign w:val="center"/>
          </w:tcPr>
          <w:p w14:paraId="C7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C8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C9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CA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CB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Увеличение количества посещений учреждений культуры (музеев и библиотек)</w:t>
            </w:r>
          </w:p>
        </w:tc>
        <w:tc>
          <w:tcPr>
            <w:tcW w:type="dxa" w:w="1884"/>
            <w:vAlign w:val="center"/>
          </w:tcPr>
          <w:p w14:paraId="CC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на 1000 человек населения</w:t>
            </w:r>
          </w:p>
        </w:tc>
        <w:tc>
          <w:tcPr>
            <w:tcW w:type="dxa" w:w="3022"/>
            <w:vAlign w:val="center"/>
          </w:tcPr>
          <w:p w14:paraId="C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type="dxa" w:w="2364"/>
            <w:vAlign w:val="center"/>
          </w:tcPr>
          <w:p w14:paraId="C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CF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2.4</w:t>
            </w:r>
          </w:p>
        </w:tc>
        <w:tc>
          <w:tcPr>
            <w:tcW w:type="dxa" w:w="7136"/>
            <w:vAlign w:val="center"/>
          </w:tcPr>
          <w:p w14:paraId="D0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Физическая культура и спорт</w:t>
            </w:r>
          </w:p>
        </w:tc>
        <w:tc>
          <w:tcPr>
            <w:tcW w:type="dxa" w:w="1884"/>
            <w:vAlign w:val="center"/>
          </w:tcPr>
          <w:p w14:paraId="D1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D2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D3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D4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D5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граждан Белокалитвинского района,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type="dxa" w:w="1884"/>
            <w:vAlign w:val="center"/>
          </w:tcPr>
          <w:p w14:paraId="D6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D7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type="dxa" w:w="2364"/>
            <w:vAlign w:val="center"/>
          </w:tcPr>
          <w:p w14:paraId="D8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61,9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D9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DA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</w:t>
            </w:r>
          </w:p>
        </w:tc>
        <w:tc>
          <w:tcPr>
            <w:tcW w:type="dxa" w:w="1884"/>
            <w:vAlign w:val="center"/>
          </w:tcPr>
          <w:p w14:paraId="DB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D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type="dxa" w:w="2364"/>
            <w:vAlign w:val="center"/>
          </w:tcPr>
          <w:p w14:paraId="D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29,1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DE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DF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уровня обеспеченности населения спортивными сооружениями, исходя из единовременной пропускной </w:t>
            </w:r>
            <w:r>
              <w:rPr>
                <w:sz w:val="24"/>
              </w:rPr>
              <w:t>способности объектов спорта</w:t>
            </w:r>
          </w:p>
        </w:tc>
        <w:tc>
          <w:tcPr>
            <w:tcW w:type="dxa" w:w="1884"/>
            <w:vAlign w:val="center"/>
          </w:tcPr>
          <w:p w14:paraId="E0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E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type="dxa" w:w="2364"/>
            <w:vAlign w:val="center"/>
          </w:tcPr>
          <w:p w14:paraId="E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55,7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E3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2.5</w:t>
            </w:r>
          </w:p>
        </w:tc>
        <w:tc>
          <w:tcPr>
            <w:tcW w:type="dxa" w:w="7136"/>
            <w:vAlign w:val="center"/>
          </w:tcPr>
          <w:p w14:paraId="E4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Доходы, труд и занятость</w:t>
            </w:r>
          </w:p>
        </w:tc>
        <w:tc>
          <w:tcPr>
            <w:tcW w:type="dxa" w:w="1884"/>
            <w:vAlign w:val="center"/>
          </w:tcPr>
          <w:p w14:paraId="E5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E6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E7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E8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E9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Повышение степени удовлетворённости потребности в квалифицированных рабочих</w:t>
            </w:r>
          </w:p>
        </w:tc>
        <w:tc>
          <w:tcPr>
            <w:tcW w:type="dxa" w:w="1884"/>
            <w:vAlign w:val="center"/>
          </w:tcPr>
          <w:p w14:paraId="EA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E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type="dxa" w:w="2364"/>
            <w:vAlign w:val="center"/>
          </w:tcPr>
          <w:p w14:paraId="E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ED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EE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Повышение соотношения среднего уровня заработной платы по заявляемым вакансиям в Белокалитвинском районе к областному уровню</w:t>
            </w:r>
          </w:p>
        </w:tc>
        <w:tc>
          <w:tcPr>
            <w:tcW w:type="dxa" w:w="1884"/>
            <w:vAlign w:val="center"/>
          </w:tcPr>
          <w:p w14:paraId="EF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F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type="dxa" w:w="2364"/>
            <w:vAlign w:val="center"/>
          </w:tcPr>
          <w:p w14:paraId="F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F2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2.6</w:t>
            </w:r>
          </w:p>
        </w:tc>
        <w:tc>
          <w:tcPr>
            <w:tcW w:type="dxa" w:w="7136"/>
            <w:vAlign w:val="center"/>
          </w:tcPr>
          <w:p w14:paraId="F3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Жилищная сфера</w:t>
            </w:r>
          </w:p>
        </w:tc>
        <w:tc>
          <w:tcPr>
            <w:tcW w:type="dxa" w:w="1884"/>
            <w:vAlign w:val="center"/>
          </w:tcPr>
          <w:p w14:paraId="F4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F5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F6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F700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  <w:vAlign w:val="center"/>
          </w:tcPr>
          <w:p w14:paraId="F800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Площадь многоквартирного жилищного фонда, признанного непригодным для проживания, аварийным, подлежащим сносу или реконструкции, признанного таковым после 1 января 2012 г., подлежащего отселению до 31 декабря 2030 г.</w:t>
            </w:r>
          </w:p>
        </w:tc>
        <w:tc>
          <w:tcPr>
            <w:tcW w:type="dxa" w:w="1884"/>
            <w:vAlign w:val="center"/>
          </w:tcPr>
          <w:p w14:paraId="F900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тыс. кв. м</w:t>
            </w:r>
          </w:p>
        </w:tc>
        <w:tc>
          <w:tcPr>
            <w:tcW w:type="dxa" w:w="3022"/>
            <w:vAlign w:val="center"/>
          </w:tcPr>
          <w:p w14:paraId="F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2364"/>
            <w:vAlign w:val="center"/>
          </w:tcPr>
          <w:p w14:paraId="F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29,5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FC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2.7</w:t>
            </w:r>
          </w:p>
        </w:tc>
        <w:tc>
          <w:tcPr>
            <w:tcW w:type="dxa" w:w="7136"/>
            <w:vAlign w:val="center"/>
          </w:tcPr>
          <w:p w14:paraId="FD00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Демография и миграция</w:t>
            </w:r>
          </w:p>
        </w:tc>
        <w:tc>
          <w:tcPr>
            <w:tcW w:type="dxa" w:w="1884"/>
            <w:vAlign w:val="center"/>
          </w:tcPr>
          <w:p w14:paraId="FE00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FF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0001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01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02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Увеличение суммарного коэффициента рождаемости</w:t>
            </w:r>
          </w:p>
        </w:tc>
        <w:tc>
          <w:tcPr>
            <w:tcW w:type="dxa" w:w="1884"/>
            <w:vAlign w:val="center"/>
          </w:tcPr>
          <w:p w14:paraId="03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промилле</w:t>
            </w:r>
          </w:p>
        </w:tc>
        <w:tc>
          <w:tcPr>
            <w:tcW w:type="dxa" w:w="3022"/>
            <w:vAlign w:val="center"/>
          </w:tcPr>
          <w:p w14:paraId="04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2364"/>
            <w:vAlign w:val="center"/>
          </w:tcPr>
          <w:p w14:paraId="05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н/д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06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2.8</w:t>
            </w:r>
          </w:p>
        </w:tc>
        <w:tc>
          <w:tcPr>
            <w:tcW w:type="dxa" w:w="7136"/>
            <w:vAlign w:val="center"/>
          </w:tcPr>
          <w:p w14:paraId="0701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Молодежная политика</w:t>
            </w:r>
          </w:p>
        </w:tc>
        <w:tc>
          <w:tcPr>
            <w:tcW w:type="dxa" w:w="1884"/>
            <w:vAlign w:val="center"/>
          </w:tcPr>
          <w:p w14:paraId="08010000">
            <w:pPr>
              <w:widowControl w:val="1"/>
              <w:ind w:hanging="16"/>
              <w:jc w:val="center"/>
              <w:rPr>
                <w:sz w:val="24"/>
              </w:rPr>
            </w:pPr>
          </w:p>
        </w:tc>
        <w:tc>
          <w:tcPr>
            <w:tcW w:type="dxa" w:w="3022"/>
            <w:vAlign w:val="center"/>
          </w:tcPr>
          <w:p w14:paraId="09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364"/>
            <w:vAlign w:val="center"/>
          </w:tcPr>
          <w:p w14:paraId="0A010000">
            <w:pPr>
              <w:widowControl w:val="1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0B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0C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Охват молодежи, задействованной в мероприятиях по популяризации здорового образа жизни, профилактике злоупотребления психоактивными веществами</w:t>
            </w:r>
          </w:p>
        </w:tc>
        <w:tc>
          <w:tcPr>
            <w:tcW w:type="dxa" w:w="1884"/>
            <w:vAlign w:val="center"/>
          </w:tcPr>
          <w:p w14:paraId="0D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0E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type="dxa" w:w="2364"/>
            <w:vAlign w:val="center"/>
          </w:tcPr>
          <w:p w14:paraId="0F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13,7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10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11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Доля молодежи, вовлеченной в мероприятия сферы молодежной политики</w:t>
            </w:r>
          </w:p>
        </w:tc>
        <w:tc>
          <w:tcPr>
            <w:tcW w:type="dxa" w:w="1884"/>
            <w:vAlign w:val="center"/>
          </w:tcPr>
          <w:p w14:paraId="12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13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type="dxa" w:w="2364"/>
            <w:vAlign w:val="center"/>
          </w:tcPr>
          <w:p w14:paraId="14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68,0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15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2.9</w:t>
            </w:r>
          </w:p>
        </w:tc>
        <w:tc>
          <w:tcPr>
            <w:tcW w:type="dxa" w:w="7136"/>
          </w:tcPr>
          <w:p w14:paraId="1601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Социальное обслуживание и защита населения</w:t>
            </w:r>
          </w:p>
        </w:tc>
        <w:tc>
          <w:tcPr>
            <w:tcW w:type="dxa" w:w="1884"/>
            <w:vAlign w:val="center"/>
          </w:tcPr>
          <w:p w14:paraId="1701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1801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1901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1A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1B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Повышение значения соотношения среднего размера назначенных месячных муниципальных пенсий со средним размером начисленной заработной платы</w:t>
            </w:r>
          </w:p>
        </w:tc>
        <w:tc>
          <w:tcPr>
            <w:tcW w:type="dxa" w:w="1884"/>
            <w:vAlign w:val="center"/>
          </w:tcPr>
          <w:p w14:paraId="1C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1D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59,55</w:t>
            </w:r>
          </w:p>
        </w:tc>
        <w:tc>
          <w:tcPr>
            <w:tcW w:type="dxa" w:w="2364"/>
            <w:vAlign w:val="center"/>
          </w:tcPr>
          <w:p w14:paraId="1E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19,4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1F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20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доли граждан, получающих адресную социальную помощь, по отношению к общей численности граждан, </w:t>
            </w:r>
            <w:r>
              <w:rPr>
                <w:sz w:val="24"/>
              </w:rPr>
              <w:t>нуждающихся в получении адресной социальной помощи</w:t>
            </w:r>
          </w:p>
        </w:tc>
        <w:tc>
          <w:tcPr>
            <w:tcW w:type="dxa" w:w="1884"/>
            <w:vAlign w:val="center"/>
          </w:tcPr>
          <w:p w14:paraId="21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22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2364"/>
            <w:vAlign w:val="center"/>
          </w:tcPr>
          <w:p w14:paraId="23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2401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2.10</w:t>
            </w:r>
          </w:p>
        </w:tc>
        <w:tc>
          <w:tcPr>
            <w:tcW w:type="dxa" w:w="7136"/>
            <w:vAlign w:val="center"/>
          </w:tcPr>
          <w:p w14:paraId="2501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Казачество</w:t>
            </w:r>
          </w:p>
        </w:tc>
        <w:tc>
          <w:tcPr>
            <w:tcW w:type="dxa" w:w="1884"/>
            <w:vAlign w:val="center"/>
          </w:tcPr>
          <w:p w14:paraId="2601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2701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2801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29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2A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численности членов казачьих обществ, привлеченных к несению службы на территории муниципальных образований района </w:t>
            </w:r>
          </w:p>
        </w:tc>
        <w:tc>
          <w:tcPr>
            <w:tcW w:type="dxa" w:w="1884"/>
            <w:vAlign w:val="center"/>
          </w:tcPr>
          <w:p w14:paraId="2B01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3022"/>
            <w:vAlign w:val="center"/>
          </w:tcPr>
          <w:p w14:paraId="2C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type="dxa" w:w="2364"/>
            <w:vAlign w:val="center"/>
          </w:tcPr>
          <w:p w14:paraId="2D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439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2E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2F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Увеличение численности членов казачьих обществ в составе добровольных народных дружин поселений</w:t>
            </w:r>
          </w:p>
        </w:tc>
        <w:tc>
          <w:tcPr>
            <w:tcW w:type="dxa" w:w="1884"/>
            <w:vAlign w:val="center"/>
          </w:tcPr>
          <w:p w14:paraId="30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3022"/>
            <w:vAlign w:val="center"/>
          </w:tcPr>
          <w:p w14:paraId="31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type="dxa" w:w="2364"/>
            <w:vAlign w:val="center"/>
          </w:tcPr>
          <w:p w14:paraId="32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33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2.11</w:t>
            </w:r>
          </w:p>
        </w:tc>
        <w:tc>
          <w:tcPr>
            <w:tcW w:type="dxa" w:w="7136"/>
            <w:vAlign w:val="center"/>
          </w:tcPr>
          <w:p w14:paraId="34010000">
            <w:pPr>
              <w:widowControl w:val="1"/>
              <w:ind w:hanging="5" w:left="-5"/>
              <w:jc w:val="both"/>
              <w:rPr>
                <w:b w:val="1"/>
                <w:sz w:val="28"/>
              </w:rPr>
            </w:pPr>
            <w:r>
              <w:rPr>
                <w:b w:val="1"/>
                <w:sz w:val="24"/>
              </w:rPr>
              <w:t>Безопасность населения</w:t>
            </w:r>
          </w:p>
        </w:tc>
        <w:tc>
          <w:tcPr>
            <w:tcW w:type="dxa" w:w="1884"/>
            <w:vAlign w:val="center"/>
          </w:tcPr>
          <w:p w14:paraId="35010000">
            <w:pPr>
              <w:widowControl w:val="1"/>
              <w:ind w:hanging="16"/>
              <w:jc w:val="center"/>
              <w:rPr>
                <w:sz w:val="24"/>
              </w:rPr>
            </w:pPr>
          </w:p>
        </w:tc>
        <w:tc>
          <w:tcPr>
            <w:tcW w:type="dxa" w:w="3022"/>
            <w:vAlign w:val="center"/>
          </w:tcPr>
          <w:p w14:paraId="36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364"/>
            <w:vAlign w:val="center"/>
          </w:tcPr>
          <w:p w14:paraId="37010000">
            <w:pPr>
              <w:widowControl w:val="1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38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39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Снижение числа зарегистрированных преступлений в Белокалитвинском районе</w:t>
            </w:r>
          </w:p>
        </w:tc>
        <w:tc>
          <w:tcPr>
            <w:tcW w:type="dxa" w:w="1884"/>
            <w:vAlign w:val="center"/>
          </w:tcPr>
          <w:p w14:paraId="3A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type="dxa" w:w="3022"/>
            <w:vAlign w:val="center"/>
          </w:tcPr>
          <w:p w14:paraId="3B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791</w:t>
            </w:r>
          </w:p>
        </w:tc>
        <w:tc>
          <w:tcPr>
            <w:tcW w:type="dxa" w:w="2364"/>
            <w:vAlign w:val="center"/>
          </w:tcPr>
          <w:p w14:paraId="3C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593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3D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3E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Снижение численности населения, пострадавшего в чрезвычайных ситуациях</w:t>
            </w:r>
          </w:p>
        </w:tc>
        <w:tc>
          <w:tcPr>
            <w:tcW w:type="dxa" w:w="1884"/>
            <w:vAlign w:val="center"/>
          </w:tcPr>
          <w:p w14:paraId="3F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3022"/>
            <w:vAlign w:val="center"/>
          </w:tcPr>
          <w:p w14:paraId="40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2364"/>
            <w:vAlign w:val="center"/>
          </w:tcPr>
          <w:p w14:paraId="41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42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43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Уменьшение количества зарегистрированных преступлений, связанных с терроризмом и экстремизмом</w:t>
            </w:r>
          </w:p>
        </w:tc>
        <w:tc>
          <w:tcPr>
            <w:tcW w:type="dxa" w:w="1884"/>
            <w:vAlign w:val="center"/>
          </w:tcPr>
          <w:p w14:paraId="44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type="dxa" w:w="3022"/>
            <w:vAlign w:val="center"/>
          </w:tcPr>
          <w:p w14:paraId="45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364"/>
            <w:vAlign w:val="center"/>
          </w:tcPr>
          <w:p w14:paraId="46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47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48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Модернизация региональной системы оповещения (процент от оповещаемого населения действующей региональной системой оповещения)</w:t>
            </w:r>
          </w:p>
        </w:tc>
        <w:tc>
          <w:tcPr>
            <w:tcW w:type="dxa" w:w="1884"/>
            <w:vAlign w:val="center"/>
          </w:tcPr>
          <w:p w14:paraId="49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4A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2364"/>
            <w:vAlign w:val="center"/>
          </w:tcPr>
          <w:p w14:paraId="4B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92,4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4C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4D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уровня пожарной безопасности и обеспечение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(процентов от количества населения </w:t>
            </w:r>
            <w:r>
              <w:rPr>
                <w:sz w:val="24"/>
              </w:rPr>
              <w:t>Белокалитвинского района</w:t>
            </w:r>
            <w:r>
              <w:rPr>
                <w:sz w:val="24"/>
              </w:rPr>
              <w:t>)</w:t>
            </w:r>
          </w:p>
        </w:tc>
        <w:tc>
          <w:tcPr>
            <w:tcW w:type="dxa" w:w="1884"/>
            <w:vAlign w:val="center"/>
          </w:tcPr>
          <w:p w14:paraId="4E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4F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2364"/>
            <w:vAlign w:val="center"/>
          </w:tcPr>
          <w:p w14:paraId="50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96,8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51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</w:t>
            </w:r>
          </w:p>
        </w:tc>
        <w:tc>
          <w:tcPr>
            <w:tcW w:type="dxa" w:w="7136"/>
            <w:vAlign w:val="center"/>
          </w:tcPr>
          <w:p w14:paraId="5201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Пространственная политика</w:t>
            </w:r>
          </w:p>
        </w:tc>
        <w:tc>
          <w:tcPr>
            <w:tcW w:type="dxa" w:w="1884"/>
            <w:vAlign w:val="center"/>
          </w:tcPr>
          <w:p w14:paraId="5301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5401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5501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56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3.1</w:t>
            </w:r>
          </w:p>
        </w:tc>
        <w:tc>
          <w:tcPr>
            <w:tcW w:type="dxa" w:w="7136"/>
            <w:vAlign w:val="center"/>
          </w:tcPr>
          <w:p w14:paraId="5701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Дорожно-транспортный комплекс</w:t>
            </w:r>
          </w:p>
        </w:tc>
        <w:tc>
          <w:tcPr>
            <w:tcW w:type="dxa" w:w="1884"/>
            <w:vAlign w:val="center"/>
          </w:tcPr>
          <w:p w14:paraId="5801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5901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5A01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5B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5C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Грузооборот автомобильного транспорта организаций всех видов экономической деятельности</w:t>
            </w:r>
          </w:p>
        </w:tc>
        <w:tc>
          <w:tcPr>
            <w:tcW w:type="dxa" w:w="1884"/>
            <w:vAlign w:val="center"/>
          </w:tcPr>
          <w:p w14:paraId="5D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млн т-км</w:t>
            </w:r>
          </w:p>
        </w:tc>
        <w:tc>
          <w:tcPr>
            <w:tcW w:type="dxa" w:w="3022"/>
            <w:vAlign w:val="center"/>
          </w:tcPr>
          <w:p w14:paraId="5E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48,0</w:t>
            </w:r>
          </w:p>
        </w:tc>
        <w:tc>
          <w:tcPr>
            <w:tcW w:type="dxa" w:w="2364"/>
            <w:vAlign w:val="center"/>
          </w:tcPr>
          <w:p w14:paraId="5F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60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61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</w:t>
            </w:r>
            <w:r>
              <w:rPr>
                <w:sz w:val="24"/>
              </w:rPr>
              <w:t>общей протяженности автомобильных дорог общего пользования местного значения в Белокалитвинском районе</w:t>
            </w:r>
          </w:p>
        </w:tc>
        <w:tc>
          <w:tcPr>
            <w:tcW w:type="dxa" w:w="1884"/>
            <w:vAlign w:val="center"/>
          </w:tcPr>
          <w:p w14:paraId="62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63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42,0</w:t>
            </w:r>
          </w:p>
        </w:tc>
        <w:tc>
          <w:tcPr>
            <w:tcW w:type="dxa" w:w="2364"/>
            <w:vAlign w:val="center"/>
          </w:tcPr>
          <w:p w14:paraId="64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48,7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65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66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Смертность в результате дорожно-транспортных происшествий</w:t>
            </w:r>
          </w:p>
        </w:tc>
        <w:tc>
          <w:tcPr>
            <w:tcW w:type="dxa" w:w="1884"/>
            <w:vAlign w:val="center"/>
          </w:tcPr>
          <w:p w14:paraId="67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на 100 тыс. населения</w:t>
            </w:r>
          </w:p>
        </w:tc>
        <w:tc>
          <w:tcPr>
            <w:tcW w:type="dxa" w:w="3022"/>
            <w:vAlign w:val="center"/>
          </w:tcPr>
          <w:p w14:paraId="68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2364"/>
            <w:vAlign w:val="center"/>
          </w:tcPr>
          <w:p w14:paraId="69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6A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3.2</w:t>
            </w:r>
          </w:p>
        </w:tc>
        <w:tc>
          <w:tcPr>
            <w:tcW w:type="dxa" w:w="7136"/>
            <w:vAlign w:val="center"/>
          </w:tcPr>
          <w:p w14:paraId="6B01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Инженерная инфраструктура и ЖКХ</w:t>
            </w:r>
          </w:p>
        </w:tc>
        <w:tc>
          <w:tcPr>
            <w:tcW w:type="dxa" w:w="1884"/>
            <w:vAlign w:val="center"/>
          </w:tcPr>
          <w:p w14:paraId="6C01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6D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364"/>
            <w:vAlign w:val="center"/>
          </w:tcPr>
          <w:p w14:paraId="6E010000">
            <w:pPr>
              <w:widowControl w:val="1"/>
              <w:ind/>
              <w:jc w:val="center"/>
              <w:rPr>
                <w:sz w:val="24"/>
                <w:highlight w:val="yellow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6F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70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населения, обеспеченного питьевой водой, отвечающей требованиям безопасности, в общей численности населения района</w:t>
            </w:r>
          </w:p>
        </w:tc>
        <w:tc>
          <w:tcPr>
            <w:tcW w:type="dxa" w:w="1884"/>
            <w:vAlign w:val="center"/>
          </w:tcPr>
          <w:p w14:paraId="71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72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41,8</w:t>
            </w:r>
          </w:p>
        </w:tc>
        <w:tc>
          <w:tcPr>
            <w:tcW w:type="dxa" w:w="2364"/>
            <w:vAlign w:val="center"/>
          </w:tcPr>
          <w:p w14:paraId="73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47,6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74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75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Сокращение количества аварий в сфере ЖКХ</w:t>
            </w:r>
          </w:p>
        </w:tc>
        <w:tc>
          <w:tcPr>
            <w:tcW w:type="dxa" w:w="1884"/>
            <w:vAlign w:val="center"/>
          </w:tcPr>
          <w:p w14:paraId="76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type="dxa" w:w="3022"/>
            <w:vAlign w:val="center"/>
          </w:tcPr>
          <w:p w14:paraId="77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2364"/>
            <w:vAlign w:val="center"/>
          </w:tcPr>
          <w:p w14:paraId="78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79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7A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type="dxa" w:w="1884"/>
            <w:vAlign w:val="center"/>
          </w:tcPr>
          <w:p w14:paraId="7B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7C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15,5</w:t>
            </w:r>
          </w:p>
        </w:tc>
        <w:tc>
          <w:tcPr>
            <w:tcW w:type="dxa" w:w="2364"/>
            <w:vAlign w:val="center"/>
          </w:tcPr>
          <w:p w14:paraId="7D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14,5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7E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7F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отремонтированных систем в многоквартирных домах (МКД) в общей структуре МКД, подлежащих капитальному ремонту</w:t>
            </w:r>
          </w:p>
        </w:tc>
        <w:tc>
          <w:tcPr>
            <w:tcW w:type="dxa" w:w="1884"/>
            <w:vAlign w:val="center"/>
          </w:tcPr>
          <w:p w14:paraId="80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81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65,7</w:t>
            </w:r>
          </w:p>
        </w:tc>
        <w:tc>
          <w:tcPr>
            <w:tcW w:type="dxa" w:w="2364"/>
            <w:vAlign w:val="center"/>
          </w:tcPr>
          <w:p w14:paraId="82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49,8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83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84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газификации населения Белокалитвинского района</w:t>
            </w:r>
          </w:p>
        </w:tc>
        <w:tc>
          <w:tcPr>
            <w:tcW w:type="dxa" w:w="1884"/>
            <w:vAlign w:val="center"/>
          </w:tcPr>
          <w:p w14:paraId="85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86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60,5</w:t>
            </w:r>
          </w:p>
        </w:tc>
        <w:tc>
          <w:tcPr>
            <w:tcW w:type="dxa" w:w="2364"/>
            <w:vAlign w:val="center"/>
          </w:tcPr>
          <w:p w14:paraId="87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56,1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88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89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Доля фактически освещенных улиц в общей протяженности улиц населенных пунктов муниципальных образований</w:t>
            </w:r>
          </w:p>
        </w:tc>
        <w:tc>
          <w:tcPr>
            <w:tcW w:type="dxa" w:w="1884"/>
            <w:vAlign w:val="center"/>
          </w:tcPr>
          <w:p w14:paraId="8A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8B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31,5</w:t>
            </w:r>
          </w:p>
        </w:tc>
        <w:tc>
          <w:tcPr>
            <w:tcW w:type="dxa" w:w="2364"/>
            <w:vAlign w:val="center"/>
          </w:tcPr>
          <w:p w14:paraId="8C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38,9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8D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3.3</w:t>
            </w:r>
          </w:p>
        </w:tc>
        <w:tc>
          <w:tcPr>
            <w:tcW w:type="dxa" w:w="7136"/>
            <w:vAlign w:val="center"/>
          </w:tcPr>
          <w:p w14:paraId="8E010000">
            <w:pPr>
              <w:widowControl w:val="1"/>
              <w:ind w:hanging="5" w:left="-5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Экология</w:t>
            </w:r>
          </w:p>
        </w:tc>
        <w:tc>
          <w:tcPr>
            <w:tcW w:type="dxa" w:w="1884"/>
            <w:vAlign w:val="center"/>
          </w:tcPr>
          <w:p w14:paraId="8F010000">
            <w:pPr>
              <w:widowControl w:val="1"/>
              <w:ind w:hanging="16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022"/>
            <w:vAlign w:val="center"/>
          </w:tcPr>
          <w:p w14:paraId="9001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364"/>
            <w:vAlign w:val="center"/>
          </w:tcPr>
          <w:p w14:paraId="9101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92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93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Снижение сброса загрязненных сточных вод</w:t>
            </w:r>
          </w:p>
        </w:tc>
        <w:tc>
          <w:tcPr>
            <w:tcW w:type="dxa" w:w="1884"/>
            <w:vAlign w:val="center"/>
          </w:tcPr>
          <w:p w14:paraId="94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млн. куб. м.</w:t>
            </w:r>
          </w:p>
        </w:tc>
        <w:tc>
          <w:tcPr>
            <w:tcW w:type="dxa" w:w="3022"/>
            <w:vAlign w:val="center"/>
          </w:tcPr>
          <w:p w14:paraId="95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1,615</w:t>
            </w:r>
          </w:p>
        </w:tc>
        <w:tc>
          <w:tcPr>
            <w:tcW w:type="dxa" w:w="2364"/>
            <w:vAlign w:val="center"/>
          </w:tcPr>
          <w:p w14:paraId="96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2,030</w:t>
            </w:r>
          </w:p>
        </w:tc>
      </w:tr>
      <w:tr>
        <w:trPr>
          <w:trHeight w:hRule="atLeast" w:val="552"/>
        </w:trPr>
        <w:tc>
          <w:tcPr>
            <w:tcW w:type="dxa" w:w="915"/>
            <w:vAlign w:val="center"/>
          </w:tcPr>
          <w:p w14:paraId="97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98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Снижение выбросов загрязняющих веществ в атмосферный воздух от стационарных источников</w:t>
            </w:r>
          </w:p>
        </w:tc>
        <w:tc>
          <w:tcPr>
            <w:tcW w:type="dxa" w:w="1884"/>
            <w:vAlign w:val="center"/>
          </w:tcPr>
          <w:p w14:paraId="99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млн. куб. м.</w:t>
            </w:r>
          </w:p>
        </w:tc>
        <w:tc>
          <w:tcPr>
            <w:tcW w:type="dxa" w:w="3022"/>
            <w:vAlign w:val="center"/>
          </w:tcPr>
          <w:p w14:paraId="9A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3,799</w:t>
            </w:r>
          </w:p>
        </w:tc>
        <w:tc>
          <w:tcPr>
            <w:tcW w:type="dxa" w:w="2364"/>
            <w:vAlign w:val="center"/>
          </w:tcPr>
          <w:p w14:paraId="9B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4,118</w:t>
            </w:r>
          </w:p>
        </w:tc>
      </w:tr>
      <w:tr>
        <w:trPr>
          <w:trHeight w:hRule="atLeast" w:val="896"/>
        </w:trPr>
        <w:tc>
          <w:tcPr>
            <w:tcW w:type="dxa" w:w="915"/>
            <w:vAlign w:val="center"/>
          </w:tcPr>
          <w:p w14:paraId="9C010000">
            <w:pPr>
              <w:widowControl w:val="1"/>
              <w:numPr>
                <w:ilvl w:val="0"/>
                <w:numId w:val="1"/>
              </w:num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7136"/>
          </w:tcPr>
          <w:p w14:paraId="9D010000">
            <w:pPr>
              <w:widowControl w:val="1"/>
              <w:ind w:hanging="5" w:left="-5"/>
              <w:jc w:val="both"/>
              <w:rPr>
                <w:sz w:val="24"/>
              </w:rPr>
            </w:pPr>
            <w:r>
              <w:rPr>
                <w:sz w:val="24"/>
              </w:rPr>
              <w:t>Увеличение удельного веса площади особо охраняемых природных территорий к общей площади области</w:t>
            </w:r>
          </w:p>
        </w:tc>
        <w:tc>
          <w:tcPr>
            <w:tcW w:type="dxa" w:w="1884"/>
            <w:vAlign w:val="center"/>
          </w:tcPr>
          <w:p w14:paraId="9E010000">
            <w:pPr>
              <w:widowControl w:val="1"/>
              <w:ind w:hanging="1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3022"/>
            <w:vAlign w:val="center"/>
          </w:tcPr>
          <w:p w14:paraId="9F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0,008853379</w:t>
            </w:r>
          </w:p>
        </w:tc>
        <w:tc>
          <w:tcPr>
            <w:tcW w:type="dxa" w:w="2364"/>
            <w:vAlign w:val="center"/>
          </w:tcPr>
          <w:p w14:paraId="A001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0,008853379</w:t>
            </w:r>
          </w:p>
        </w:tc>
      </w:tr>
    </w:tbl>
    <w:tbl>
      <w:tblPr>
        <w:tblStyle w:val="Style_3"/>
        <w:tblpPr w:bottomFromText="0" w:horzAnchor="margin" w:leftFromText="180" w:rightFromText="180" w:tblpX="-428" w:tblpY="10896" w:topFromText="0" w:vertAnchor="page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1140"/>
        <w:gridCol w:w="5011"/>
        <w:gridCol w:w="1719"/>
        <w:gridCol w:w="3434"/>
        <w:gridCol w:w="4523"/>
      </w:tblGrid>
      <w:tr>
        <w:trPr>
          <w:trHeight w:hRule="atLeast" w:val="20"/>
          <w:tblHeader/>
        </w:trPr>
        <w:tc>
          <w:tcPr>
            <w:tcW w:type="dxa" w:w="1582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10000">
            <w:pPr>
              <w:widowControl w:val="1"/>
              <w:ind w:right="0"/>
            </w:pPr>
          </w:p>
        </w:tc>
      </w:tr>
      <w:tr>
        <w:trPr>
          <w:trHeight w:hRule="atLeast" w:val="20"/>
          <w:tblHeader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10000">
            <w:pPr>
              <w:widowControl w:val="1"/>
              <w:spacing w:line="21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  <w:p w14:paraId="A3010000">
            <w:pPr>
              <w:widowControl w:val="1"/>
              <w:spacing w:line="21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п/п</w:t>
            </w: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10000">
            <w:pPr>
              <w:widowControl w:val="1"/>
              <w:spacing w:line="21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 мероприятия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10000">
            <w:pPr>
              <w:widowControl w:val="1"/>
              <w:spacing w:line="21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Период реализации мероприятия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10000">
            <w:pPr>
              <w:widowControl w:val="1"/>
              <w:spacing w:line="21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Ответственный исполнитель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A7010000">
            <w:pPr>
              <w:widowControl w:val="1"/>
              <w:spacing w:line="21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</w:t>
            </w:r>
            <w:r>
              <w:rPr>
                <w:b w:val="1"/>
                <w:sz w:val="24"/>
              </w:rPr>
              <w:t>езультаты</w:t>
            </w:r>
            <w:r>
              <w:rPr>
                <w:b w:val="1"/>
                <w:sz w:val="24"/>
              </w:rPr>
              <w:t xml:space="preserve"> за 20</w:t>
            </w:r>
            <w:r>
              <w:rPr>
                <w:b w:val="1"/>
                <w:sz w:val="24"/>
              </w:rPr>
              <w:t>25</w:t>
            </w:r>
            <w:r>
              <w:rPr>
                <w:b w:val="1"/>
                <w:sz w:val="24"/>
              </w:rPr>
              <w:t xml:space="preserve"> год</w:t>
            </w:r>
          </w:p>
        </w:tc>
      </w:tr>
      <w:tr>
        <w:trPr>
          <w:trHeight w:hRule="atLeast" w:val="20"/>
          <w:tblHeader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1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1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1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1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AC01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hRule="atLeast" w:val="552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 ЭКОНОМИЧЕСКАЯ ПОЛИТИКА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B0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B1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1.1 АГРОПРОМЫШЛЕННЫЙ КОМПЛЕКС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B5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B6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1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 муниципальной программы «Развитие сельского хозяйства и регулирование рынков сырья и продовольствия» на период 2019-2030 гг. с учетом достигнутых показателей предыдущего этапа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BA01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B010000">
            <w:pPr>
              <w:widowControl w:val="1"/>
              <w:spacing w:line="240" w:lineRule="auto"/>
              <w:ind w:right="0"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</w:t>
            </w:r>
            <w:r>
              <w:rPr>
                <w:sz w:val="24"/>
              </w:rPr>
              <w:t>существля</w:t>
            </w:r>
            <w:r>
              <w:rPr>
                <w:sz w:val="24"/>
              </w:rPr>
              <w:t>лась</w:t>
            </w:r>
            <w:r>
              <w:rPr>
                <w:sz w:val="24"/>
              </w:rPr>
              <w:t xml:space="preserve"> реализация </w:t>
            </w:r>
            <w:r>
              <w:rPr>
                <w:sz w:val="24"/>
              </w:rPr>
              <w:t xml:space="preserve"> муниципальной программы</w:t>
            </w:r>
            <w:r>
              <w:rPr>
                <w:sz w:val="24"/>
              </w:rPr>
              <w:t>, которая способствует развитию</w:t>
            </w:r>
            <w:r>
              <w:rPr>
                <w:sz w:val="24"/>
              </w:rPr>
              <w:t xml:space="preserve"> инфраструктуры </w:t>
            </w:r>
            <w:r>
              <w:rPr>
                <w:sz w:val="24"/>
              </w:rPr>
              <w:t>АПК, содействию</w:t>
            </w:r>
            <w:r>
              <w:rPr>
                <w:sz w:val="24"/>
              </w:rPr>
              <w:t xml:space="preserve"> добросовестной конкуренции на рынке продовольствия</w:t>
            </w:r>
          </w:p>
        </w:tc>
      </w:tr>
      <w:tr>
        <w:trPr>
          <w:trHeight w:hRule="atLeast" w:val="552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1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реализации и корректировка плана мероприятий муниципальной программы на период 2019-2030 гг. с учетом достигнутых показателей предыдущего этапа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BF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0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корректировка </w:t>
            </w:r>
            <w:r>
              <w:rPr>
                <w:sz w:val="24"/>
              </w:rPr>
              <w:t>показателей и объемов финансирования мероприятий</w:t>
            </w:r>
          </w:p>
        </w:tc>
      </w:tr>
      <w:tr>
        <w:trPr>
          <w:trHeight w:hRule="atLeast" w:val="552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1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 муниципальной программы «Комплексное развитие сельских территорий» на период 2020-2030 гг. с учетом достигнутых показателей предыдущего этапа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2020-2030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C401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5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реализация муниципальной программы, которая способствует </w:t>
            </w:r>
            <w:r>
              <w:rPr>
                <w:sz w:val="24"/>
              </w:rPr>
              <w:t>стабилизации</w:t>
            </w:r>
            <w:r>
              <w:rPr>
                <w:sz w:val="24"/>
              </w:rPr>
              <w:t xml:space="preserve"> демографической ситуации в сельской </w:t>
            </w:r>
            <w:r>
              <w:rPr>
                <w:sz w:val="24"/>
              </w:rPr>
              <w:t>местности;</w:t>
            </w:r>
          </w:p>
          <w:p w14:paraId="C6010000">
            <w:pPr>
              <w:widowControl w:val="1"/>
              <w:spacing w:line="240" w:lineRule="auto"/>
              <w:ind w:right="0"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повышени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 xml:space="preserve"> уровня социально-инженерного обустройства в сельской местности</w:t>
            </w:r>
          </w:p>
        </w:tc>
      </w:tr>
      <w:tr>
        <w:trPr>
          <w:trHeight w:hRule="atLeast" w:val="521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1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реализации и корректировка плана мероприятий муниципальной программы на период 2020-2030 гг. с учетом достигнутых показателей предыдущего этапа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9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CA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B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</w:t>
            </w:r>
            <w:r>
              <w:rPr>
                <w:sz w:val="24"/>
              </w:rPr>
              <w:t xml:space="preserve"> корректировка показателей и объемов финансирования мероприятий</w:t>
            </w:r>
          </w:p>
        </w:tc>
      </w:tr>
      <w:tr>
        <w:trPr>
          <w:trHeight w:hRule="atLeast" w:val="552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1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1.1.1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CE01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Повышение технико-технологического уровня развития агропромышленного комплекса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1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001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D101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1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инвестирования в модернизацию и техническое перевооружение производства сельскохозяйственных товаропроизводителей Белокалитвинского района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6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редприятия</w:t>
            </w:r>
            <w:r>
              <w:rPr>
                <w:sz w:val="24"/>
              </w:rPr>
              <w:t xml:space="preserve"> агропромышленного комплекса</w:t>
            </w:r>
            <w:r>
              <w:rPr>
                <w:sz w:val="24"/>
              </w:rPr>
              <w:t xml:space="preserve"> осуществляли модернизацию</w:t>
            </w:r>
            <w:r>
              <w:rPr>
                <w:sz w:val="24"/>
              </w:rPr>
              <w:t xml:space="preserve"> и техническое перевооружение производства</w:t>
            </w:r>
            <w:r>
              <w:rPr>
                <w:sz w:val="24"/>
              </w:rPr>
              <w:t xml:space="preserve">. Инвестировано </w:t>
            </w:r>
            <w:r>
              <w:rPr>
                <w:sz w:val="24"/>
              </w:rPr>
              <w:t>221,4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млн.рублей</w:t>
            </w:r>
            <w:r>
              <w:rPr>
                <w:sz w:val="24"/>
              </w:rPr>
              <w:t>.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10000">
            <w:pPr>
              <w:keepNext w:val="1"/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10000">
            <w:pPr>
              <w:keepNext w:val="1"/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1.1.2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D9010000">
            <w:pPr>
              <w:keepNext w:val="1"/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инфраструктуры агропромышленного комплекса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10000">
            <w:pPr>
              <w:keepNext w:val="1"/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B010000">
            <w:pPr>
              <w:keepNext w:val="1"/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DC010000">
            <w:pPr>
              <w:keepNext w:val="1"/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1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Развитие консультационной помощи и предоставление государственных услуг по информационному обеспечению сельскохозяйственных товаропроизводителей Белокалитвинского района, улучшение кадрового обеспечения отрасли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E1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охранен существую</w:t>
            </w:r>
            <w:r>
              <w:rPr>
                <w:sz w:val="24"/>
              </w:rPr>
              <w:t>щ</w:t>
            </w:r>
            <w:r>
              <w:rPr>
                <w:sz w:val="24"/>
              </w:rPr>
              <w:t>ий</w:t>
            </w:r>
            <w:r>
              <w:rPr>
                <w:sz w:val="24"/>
              </w:rPr>
              <w:t xml:space="preserve"> уров</w:t>
            </w:r>
            <w:r>
              <w:rPr>
                <w:sz w:val="24"/>
              </w:rPr>
              <w:t>ень</w:t>
            </w:r>
            <w:r>
              <w:rPr>
                <w:sz w:val="24"/>
              </w:rPr>
              <w:t xml:space="preserve"> участия Белокалитвинского района в реализации Государственной про</w:t>
            </w:r>
            <w:r>
              <w:rPr>
                <w:sz w:val="24"/>
              </w:rPr>
              <w:t>граммы (наличие в муниципальном образовании про</w:t>
            </w:r>
            <w:r>
              <w:rPr>
                <w:sz w:val="24"/>
              </w:rPr>
              <w:t xml:space="preserve">граммы развития сельского хозяйства и </w:t>
            </w:r>
            <w:r>
              <w:rPr>
                <w:sz w:val="24"/>
              </w:rPr>
              <w:t>регулирова</w:t>
            </w:r>
            <w:r>
              <w:rPr>
                <w:sz w:val="24"/>
              </w:rPr>
              <w:t>ния рынков сырья и про</w:t>
            </w:r>
            <w:r>
              <w:rPr>
                <w:sz w:val="24"/>
              </w:rPr>
              <w:t>довольствия) – 100% при плане 100%.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1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3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добросовестной конкуренции на продовольственном рынке Белокалитвинского района и снижение административного давления на его участников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E6010000">
            <w:pPr>
              <w:widowControl w:val="1"/>
              <w:spacing w:line="240" w:lineRule="auto"/>
              <w:ind w:right="0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Обработано посевов против сорной растительности на площади </w:t>
            </w:r>
            <w:r>
              <w:rPr>
                <w:sz w:val="24"/>
              </w:rPr>
              <w:t>74,6</w:t>
            </w:r>
            <w:r>
              <w:rPr>
                <w:sz w:val="24"/>
              </w:rPr>
              <w:t xml:space="preserve"> тысяч гектар, а также против болезней на площади </w:t>
            </w:r>
            <w:r>
              <w:rPr>
                <w:sz w:val="24"/>
              </w:rPr>
              <w:t>49,8</w:t>
            </w:r>
            <w:r>
              <w:rPr>
                <w:sz w:val="24"/>
              </w:rPr>
              <w:t xml:space="preserve"> тысяч</w:t>
            </w:r>
            <w:r>
              <w:rPr>
                <w:sz w:val="24"/>
              </w:rPr>
              <w:t xml:space="preserve"> гектар и вредителей на площади </w:t>
            </w:r>
            <w:r>
              <w:rPr>
                <w:sz w:val="24"/>
              </w:rPr>
              <w:t>62,1</w:t>
            </w:r>
            <w:r>
              <w:rPr>
                <w:sz w:val="24"/>
              </w:rPr>
              <w:t xml:space="preserve"> тысячи гектар.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1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оддержка кооперации сельхозтоваропроизводителей Белокалитвинского района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EB010000">
            <w:pPr>
              <w:widowControl w:val="1"/>
              <w:spacing w:line="240" w:lineRule="auto"/>
              <w:ind w:right="0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Уборочные работы в хозяйствах</w:t>
            </w:r>
            <w:r>
              <w:rPr>
                <w:sz w:val="24"/>
              </w:rPr>
              <w:t xml:space="preserve"> района проводились более чем 50</w:t>
            </w:r>
            <w:r>
              <w:rPr>
                <w:sz w:val="24"/>
              </w:rPr>
              <w:t>0 единицами техники, в том числе 180 комбайнами.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Сельхозтоваропроизводителями района получена господдержка на сумму 24,9 млн. рублей на: поддержку элитного семеноводства, возмещение части затрат на уплату страховых премий,  производство и реализацию зерновых культур, возмещение части затрат на приобретение и внесение удобрений, на приобретение кормов</w:t>
            </w:r>
            <w:r>
              <w:rPr>
                <w:sz w:val="24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C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D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1.1.3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EE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Повышение урожайности сельскохозяйственных культур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F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0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F1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1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удельного веса площади, засеваемой элитными семенами, в общей площади посева не менее 10 процентов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6010000">
            <w:pPr>
              <w:widowControl w:val="1"/>
              <w:spacing w:line="240" w:lineRule="auto"/>
              <w:ind w:right="0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Аграриям</w:t>
            </w:r>
            <w:r>
              <w:rPr>
                <w:sz w:val="24"/>
              </w:rPr>
              <w:t>и района засеяно элитными семенами</w:t>
            </w:r>
            <w:r>
              <w:rPr>
                <w:sz w:val="24"/>
              </w:rPr>
              <w:t xml:space="preserve"> 8</w:t>
            </w:r>
            <w:r>
              <w:rPr>
                <w:sz w:val="24"/>
              </w:rPr>
              <w:t>,0 тыс. га, что составляет 13,5 % от общей площади посевов, занятой озимыми культурами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1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количества вносимых удобрений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1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B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посеве озимых внесено минеральных удобрений </w:t>
            </w:r>
            <w:r>
              <w:rPr>
                <w:sz w:val="24"/>
              </w:rPr>
              <w:t>7,0</w:t>
            </w:r>
            <w:r>
              <w:rPr>
                <w:sz w:val="24"/>
              </w:rPr>
              <w:t xml:space="preserve"> тысяч тонн.</w:t>
            </w:r>
          </w:p>
          <w:p w14:paraId="FC01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E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1.1.4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FF01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Опережающее развитие животноводства с приоритетом крупнотоварного производства и развитие переработки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0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1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2020000">
            <w:pPr>
              <w:widowControl w:val="1"/>
              <w:spacing w:line="276" w:lineRule="auto"/>
              <w:ind w:right="0"/>
              <w:jc w:val="both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3020000">
            <w:pPr>
              <w:widowControl w:val="1"/>
              <w:numPr>
                <w:ilvl w:val="0"/>
                <w:numId w:val="2"/>
              </w:numPr>
              <w:ind w:right="0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4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Поддержка сельскохозяйственных организаций, крестьянско-фермерских хозяйств, индивидуальных предпринимателей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07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В 2025</w:t>
            </w:r>
            <w:r>
              <w:rPr>
                <w:sz w:val="24"/>
              </w:rPr>
              <w:t xml:space="preserve"> году </w:t>
            </w:r>
            <w:r>
              <w:rPr>
                <w:sz w:val="24"/>
              </w:rPr>
              <w:t xml:space="preserve">гранты не выдавались ввиду отсутствия заявок на получение грантовой поддержки 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902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1.1.5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0A02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Устойчивое развитие сельских территорий, повышение занятости и уровня жизни сельского населения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B02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C02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D02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20000">
            <w:pPr>
              <w:widowControl w:val="1"/>
              <w:numPr>
                <w:ilvl w:val="0"/>
                <w:numId w:val="2"/>
              </w:numPr>
              <w:ind w:right="0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F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Улучшение жилищных условий в сельской местности и обеспечение доступным жильем молодых специалистов (или их семей) на селе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Служба реализации жилищных программ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12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В 2025 году улучшение жилищных условий не проводилось ввиду отсутствия финансирования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3020000">
            <w:pPr>
              <w:widowControl w:val="1"/>
              <w:numPr>
                <w:ilvl w:val="0"/>
                <w:numId w:val="2"/>
              </w:numPr>
              <w:ind w:right="0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 государственной поддержки по обеспечению жильем граждан, проживающих на сельских территориях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2020-2030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Служба реализации жилищных программ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17020000">
            <w:pPr>
              <w:widowControl w:val="1"/>
              <w:spacing w:line="240" w:lineRule="auto"/>
              <w:ind w:right="0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В 2025</w:t>
            </w:r>
            <w:r>
              <w:rPr>
                <w:sz w:val="24"/>
              </w:rPr>
              <w:t xml:space="preserve"> году п</w:t>
            </w:r>
            <w:r>
              <w:rPr>
                <w:sz w:val="24"/>
              </w:rPr>
              <w:t>редоставление государственной поддержки</w:t>
            </w:r>
            <w:r>
              <w:rPr>
                <w:sz w:val="24"/>
              </w:rPr>
              <w:t xml:space="preserve"> на обеспечение жильем граждан, проживающих в сельской местности, не осуществлялось </w:t>
            </w:r>
            <w:r>
              <w:rPr>
                <w:sz w:val="24"/>
              </w:rPr>
              <w:t>ввиду отсутствия финансирования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20000">
            <w:pPr>
              <w:widowControl w:val="1"/>
              <w:spacing w:line="276" w:lineRule="auto"/>
              <w:ind w:right="0"/>
              <w:jc w:val="center"/>
              <w:rPr>
                <w:sz w:val="24"/>
                <w:highlight w:val="lightGray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2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Задача 1.1.6</w:t>
            </w:r>
          </w:p>
          <w:p w14:paraId="1A02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(приоритетное направление):</w:t>
            </w:r>
          </w:p>
          <w:p w14:paraId="1B020000">
            <w:pPr>
              <w:widowControl w:val="1"/>
              <w:spacing w:line="240" w:lineRule="auto"/>
              <w:ind w:right="0"/>
              <w:jc w:val="center"/>
              <w:rPr>
                <w:sz w:val="24"/>
                <w:highlight w:val="lightGray"/>
              </w:rPr>
            </w:pPr>
            <w:r>
              <w:rPr>
                <w:b w:val="1"/>
                <w:sz w:val="24"/>
              </w:rPr>
              <w:t xml:space="preserve">Кадровое обеспечение агропромышленного </w:t>
            </w:r>
            <w:r>
              <w:rPr>
                <w:b w:val="1"/>
                <w:sz w:val="24"/>
              </w:rPr>
              <w:t>комплекса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20000">
            <w:pPr>
              <w:widowControl w:val="1"/>
              <w:spacing w:line="240" w:lineRule="auto"/>
              <w:ind w:right="0"/>
              <w:jc w:val="center"/>
              <w:rPr>
                <w:sz w:val="24"/>
                <w:highlight w:val="lightGray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20000">
            <w:pPr>
              <w:widowControl w:val="1"/>
              <w:spacing w:line="240" w:lineRule="auto"/>
              <w:ind w:right="0"/>
              <w:jc w:val="center"/>
              <w:rPr>
                <w:sz w:val="24"/>
                <w:highlight w:val="lightGray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1E020000">
            <w:pPr>
              <w:widowControl w:val="1"/>
              <w:spacing w:line="240" w:lineRule="auto"/>
              <w:ind w:right="0"/>
              <w:jc w:val="both"/>
              <w:rPr>
                <w:sz w:val="24"/>
                <w:highlight w:val="lightGray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Обустройство сельских территорий, создание современного облика сельских территорий, благоустройство в целях сохранения численности сельского населения, в том числе занятого в АПК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2020-2030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23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Разработана схема газоснабжения в п.Сосны в рамках обеспечения инженерной инфраструктурой участков, предоставляемых гражданам, имеющим 3-х и более детей</w:t>
            </w:r>
          </w:p>
        </w:tc>
      </w:tr>
      <w:tr>
        <w:trPr>
          <w:trHeight w:hRule="atLeast" w:val="552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1.2 ПРОМЫШЛЕННОСТЬ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27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28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1.2.1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2B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Создание и развитие и механизма эффективного кадрового обеспечения промышленных предприятий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2D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2E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20000">
            <w:pPr>
              <w:widowControl w:val="1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 xml:space="preserve">Развитие системы профориентации,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том числе школьников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вопросам; отдел образования;</w:t>
            </w:r>
          </w:p>
          <w:p w14:paraId="33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ГКУ РО «ЦЗН г.Белая Калитва»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4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>Единая модель профориентации</w:t>
            </w:r>
            <w:r>
              <w:rPr>
                <w:rStyle w:val="Style_4_ch"/>
                <w:sz w:val="24"/>
              </w:rPr>
              <w:t> </w:t>
            </w:r>
            <w:r>
              <w:rPr>
                <w:rStyle w:val="Style_4_ch"/>
                <w:sz w:val="24"/>
              </w:rPr>
              <w:t xml:space="preserve">реализуется во всех школах района с 2025 года в рамках федерального проекта «Профессионалитет» нацпроекта «Молодёжь и дети». </w:t>
            </w:r>
            <w:r>
              <w:rPr>
                <w:sz w:val="24"/>
              </w:rPr>
              <w:t>14 марта в рамках областного Дня профориентации молодежи «Сделай свой выбор» Центром занятости населения была организована профориентационная встреча обучающихся выпускных классов Белокалитвинского района с представителями среднего и высшего профессионального образов</w:t>
            </w:r>
            <w:r>
              <w:rPr>
                <w:sz w:val="24"/>
              </w:rPr>
              <w:t xml:space="preserve">ания, осуществляющих подготовку </w:t>
            </w:r>
            <w:r>
              <w:rPr>
                <w:sz w:val="24"/>
              </w:rPr>
              <w:t>по востребованным профессиям и специальностям. </w:t>
            </w:r>
            <w:r>
              <w:rPr>
                <w:rStyle w:val="Style_4_ch"/>
                <w:sz w:val="24"/>
              </w:rPr>
              <w:t xml:space="preserve">В рамках реализации профориентационного направления </w:t>
            </w:r>
            <w:r>
              <w:rPr>
                <w:rStyle w:val="Style_4_ch"/>
                <w:sz w:val="24"/>
              </w:rPr>
              <w:t xml:space="preserve">          </w:t>
            </w:r>
            <w:r>
              <w:rPr>
                <w:rStyle w:val="Style_4_ch"/>
                <w:sz w:val="24"/>
              </w:rPr>
              <w:t>во всех 37 школах организована работа по реализации уроков «Билет в будущее», «</w:t>
            </w:r>
            <w:r>
              <w:rPr>
                <w:rStyle w:val="Style_4_ch"/>
                <w:sz w:val="24"/>
              </w:rPr>
              <w:t>Проектория</w:t>
            </w:r>
            <w:r>
              <w:rPr>
                <w:rStyle w:val="Style_4_ch"/>
                <w:sz w:val="24"/>
              </w:rPr>
              <w:t>» и «Шоу профессий». Проведена единая декада профориентации, в которой приняло участие 1216 обучающихся.</w:t>
            </w:r>
          </w:p>
          <w:p w14:paraId="35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>День профориентации инвалидов</w:t>
            </w:r>
            <w:r>
              <w:rPr>
                <w:rStyle w:val="Style_4_ch"/>
                <w:sz w:val="24"/>
              </w:rPr>
              <w:t> </w:t>
            </w:r>
            <w:r>
              <w:rPr>
                <w:rStyle w:val="Style_4_ch"/>
                <w:sz w:val="24"/>
              </w:rPr>
              <w:t>прошёл 4 декабря 2025 в центре занятости Белой Калитвы. Гражданам с инвалидностью предложили профориентационное тестирование, психологическую поддержку и информацию о востребованных профессиях и возможностях обучения. 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профориентационных мероприятий (семинаров, деловых игр, </w:t>
            </w:r>
            <w:r>
              <w:rPr>
                <w:sz w:val="24"/>
              </w:rPr>
              <w:t>квестов</w:t>
            </w:r>
            <w:r>
              <w:rPr>
                <w:sz w:val="24"/>
              </w:rPr>
              <w:t xml:space="preserve"> и т.п., не менее 2 ежегодно)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вопросам; отдел образования;</w:t>
            </w:r>
          </w:p>
          <w:p w14:paraId="3A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ГКУ РО «ЦЗН г.Белая Калитва»</w:t>
            </w:r>
            <w:r>
              <w:rPr>
                <w:sz w:val="24"/>
              </w:rPr>
              <w:br/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B020000">
            <w:pPr>
              <w:widowControl w:val="1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13 марта </w:t>
            </w:r>
            <w:r>
              <w:rPr>
                <w:sz w:val="24"/>
              </w:rPr>
              <w:t xml:space="preserve">Белокалитвинский центр занятости населения совместно </w:t>
            </w:r>
            <w:r>
              <w:rPr>
                <w:sz w:val="24"/>
              </w:rPr>
              <w:t xml:space="preserve">                      </w:t>
            </w:r>
            <w:r>
              <w:rPr>
                <w:sz w:val="24"/>
              </w:rPr>
              <w:t xml:space="preserve">с отделом образования Белокалитвинского района организовали профориентационную экскурсию </w:t>
            </w:r>
            <w:r>
              <w:rPr>
                <w:sz w:val="24"/>
              </w:rPr>
              <w:t xml:space="preserve">                                </w:t>
            </w:r>
            <w:r>
              <w:rPr>
                <w:sz w:val="24"/>
              </w:rPr>
              <w:t>для  обучающихся 9 класса общеобразовательной организации МБОУ СОШ № 14  на угледобывающее предприятие ООО</w:t>
            </w:r>
            <w:r>
              <w:rPr>
                <w:sz w:val="24"/>
              </w:rPr>
              <w:t xml:space="preserve"> «Шахтоуправление «Садкинское». В</w:t>
            </w:r>
            <w:r>
              <w:rPr>
                <w:rStyle w:val="Style_4_ch"/>
                <w:sz w:val="24"/>
              </w:rPr>
              <w:t xml:space="preserve"> ноябре 2025 года</w:t>
            </w:r>
            <w:r>
              <w:rPr>
                <w:rStyle w:val="Style_4_ch"/>
                <w:sz w:val="24"/>
              </w:rPr>
              <w:t> </w:t>
            </w:r>
            <w:r>
              <w:rPr>
                <w:rStyle w:val="Style_4_ch"/>
                <w:sz w:val="24"/>
              </w:rPr>
              <w:t>Центр занятости совместно с отделом образования организовал экскурсии старшеклассников на предприятия района: швейное производство «Реглан», отдел МВД, региональный сосудистый центр ЦРБ, КФХ «Зайцев», АПК «Гладышев и К», мебельный цех «АБК-Мебель», пункт выдачи «ОЗОН», отделения Сбербанка и другие. Школьники встретились с руководителями и попробовали профессии «в деле».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3D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прогнозирование рынка труда с учетом запроса, потребности в рабочей силе работодателей – промышленных предприятий муниципального образования,</w:t>
            </w:r>
          </w:p>
          <w:p w14:paraId="3E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т.ч</w:t>
            </w:r>
            <w:r>
              <w:rPr>
                <w:sz w:val="24"/>
              </w:rPr>
              <w:t>.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вопросам;</w:t>
            </w:r>
          </w:p>
          <w:p w14:paraId="41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ГКУ РО «ЦЗН г.Белая Калитва»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2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Проведена оценка фактического состояния за 2025</w:t>
            </w:r>
            <w:r>
              <w:rPr>
                <w:sz w:val="24"/>
              </w:rPr>
              <w:t xml:space="preserve"> год и прогноз рынка труда на 2026</w:t>
            </w:r>
            <w:r>
              <w:rPr>
                <w:sz w:val="24"/>
              </w:rPr>
              <w:t>-2027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г.г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 </w:t>
            </w:r>
          </w:p>
        </w:tc>
      </w:tr>
      <w:tr>
        <w:trPr>
          <w:trHeight w:hRule="atLeast" w:val="1656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информационной поддержки мониторинга (информирование) на сайте Администрации Белокалитвинского района и СМИ;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вопросам;</w:t>
            </w:r>
          </w:p>
          <w:p w14:paraId="47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ГКУ РО «ЦЗН г.Белая Калитва»</w:t>
            </w:r>
          </w:p>
        </w:tc>
        <w:tc>
          <w:tcPr>
            <w:tcW w:type="dxa" w:w="45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48020000">
            <w:pPr>
              <w:widowControl w:val="1"/>
              <w:spacing w:after="160" w:line="240" w:lineRule="auto"/>
              <w:ind w:right="0"/>
              <w:jc w:val="both"/>
              <w:rPr>
                <w:sz w:val="24"/>
              </w:rPr>
            </w:pPr>
          </w:p>
          <w:p w14:paraId="49020000">
            <w:pPr>
              <w:widowControl w:val="1"/>
              <w:spacing w:after="160"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Регулярное освещение </w:t>
            </w:r>
            <w:r>
              <w:rPr>
                <w:sz w:val="24"/>
              </w:rPr>
              <w:t>в газете «Перекресток»</w:t>
            </w:r>
            <w:r>
              <w:rPr>
                <w:sz w:val="24"/>
              </w:rPr>
              <w:t xml:space="preserve"> состояния рынка труда, информации о вакансиях, размещение</w:t>
            </w:r>
            <w:r>
              <w:rPr>
                <w:sz w:val="24"/>
              </w:rPr>
              <w:t xml:space="preserve"> информационных материалов в электронных СМИ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4A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</w:tr>
      <w:tr>
        <w:trPr>
          <w:trHeight w:hRule="atLeast" w:val="1785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сбор, обработка информации и представление результатов мониторинга и прогнозирования рынка труда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вопросам;</w:t>
            </w:r>
          </w:p>
          <w:p w14:paraId="4F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ГКУ РО «ЦЗН г.Белая Калитва»</w:t>
            </w:r>
          </w:p>
        </w:tc>
        <w:tc>
          <w:tcPr>
            <w:tcW w:type="dxa" w:w="45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/>
        </w:tc>
      </w:tr>
      <w:tr>
        <w:trPr>
          <w:trHeight w:hRule="atLeast" w:val="552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1.2.2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52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Популяризация и повышение престижности инновационной деятельности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54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55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57020000">
            <w:pPr>
              <w:widowControl w:val="1"/>
              <w:tabs>
                <w:tab w:leader="none" w:pos="1658" w:val="left"/>
              </w:tabs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Широкое освещение форм поддержки инновационной деятельности, а также освещение результатов инновационной деятельности в СМИ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A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Публикация в газете «Перекресток» информации об организациях, осуществляющих технологические инновации</w:t>
            </w:r>
          </w:p>
        </w:tc>
      </w:tr>
      <w:tr>
        <w:trPr>
          <w:trHeight w:hRule="atLeast" w:val="567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1.3 СТРОИТЕЛЬНЫЙ КОМПЛЕКС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5F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61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1.3.1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62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жилищного строительства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65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67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ежегодных среднегодовых объемов жилищного строительства и рост уровня обеспеченности жильем населения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архитектуры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A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В 2025</w:t>
            </w:r>
            <w:r>
              <w:rPr>
                <w:sz w:val="24"/>
              </w:rPr>
              <w:t xml:space="preserve"> году построено и введено в эксплуатацию </w:t>
            </w:r>
            <w:r>
              <w:rPr>
                <w:sz w:val="24"/>
              </w:rPr>
              <w:t>12,3</w:t>
            </w:r>
            <w:r>
              <w:rPr>
                <w:sz w:val="24"/>
              </w:rPr>
              <w:t xml:space="preserve"> тыс.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кв.м</w:t>
            </w:r>
            <w:r>
              <w:rPr>
                <w:sz w:val="24"/>
              </w:rPr>
              <w:t>. жилья.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6C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Актуализация, разработка, согласование и утверждение схем территориального </w:t>
            </w:r>
            <w:r>
              <w:rPr>
                <w:sz w:val="24"/>
              </w:rPr>
              <w:t>планирования Белокалитвинского района, генеральных планов и правил землепользования и застройки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архитектуры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6F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В 202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 году </w:t>
            </w:r>
            <w:r>
              <w:rPr>
                <w:sz w:val="24"/>
              </w:rPr>
              <w:t>актуализирована</w:t>
            </w:r>
            <w:r>
              <w:rPr>
                <w:sz w:val="24"/>
              </w:rPr>
              <w:t xml:space="preserve"> схема территориального планирования в составе </w:t>
            </w:r>
            <w:r>
              <w:rPr>
                <w:sz w:val="24"/>
              </w:rPr>
              <w:t>схемы территориального планирования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71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Изготовление </w:t>
            </w:r>
            <w:r>
              <w:rPr>
                <w:sz w:val="24"/>
              </w:rPr>
              <w:t>ортофотопланов</w:t>
            </w:r>
            <w:r>
              <w:rPr>
                <w:sz w:val="24"/>
              </w:rPr>
              <w:t xml:space="preserve"> территории муниципального образования и населенных пунктов Белокалитвинского района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2019-2024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архитектуры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74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Рост качества муниципального и отраслевого управления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20000">
            <w:pPr>
              <w:widowControl w:val="1"/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76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79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1.4 МАЛЫЙ И СРЕДНИЙ БИЗНЕС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7D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7E02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2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1.4.1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8102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образовательных программ и реализация кадрового потенциала субъектов малого и среднего бизнеса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83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8402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86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Развитие системы профориентации граждан, популяризации предпринимательства, в том числе социального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самоуправления,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89020000">
            <w:pPr>
              <w:widowControl w:val="1"/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>Проведен конкурс среди учащихся общеобразовательных организаций</w:t>
            </w:r>
            <w:r>
              <w:rPr>
                <w:rStyle w:val="Style_4_ch"/>
                <w:sz w:val="24"/>
              </w:rPr>
              <w:t xml:space="preserve"> в 3-х возрастных категориях</w:t>
            </w:r>
            <w:r>
              <w:rPr>
                <w:rStyle w:val="Style_4_ch"/>
                <w:sz w:val="24"/>
              </w:rPr>
              <w:t xml:space="preserve"> на тему «Справедливый переход к устойчивому образу жизни» в сфере защиты прав потребителей.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A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8B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мероприятий, в том числе конкурсных, направленных на повышение значимости и престижа предпринимательства.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8E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году проведена работа по следующим направлениям:</w:t>
            </w:r>
          </w:p>
          <w:p w14:paraId="8F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- организация проведения муниципальных профессиональных и рейтинговых конкурсов в сфере предпринимательства;</w:t>
            </w:r>
          </w:p>
          <w:p w14:paraId="90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- распространение информационных и презентационных материалов по вопросам ведения предпринимательской деятельности.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92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информирования предпринимательского сообщества о существующих мерах поддержки.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95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Информация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 существующих мерах поддержки публикуется в газете «Перекресток» и размещается на официальном сайте Администрации Белокалитвинского района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97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Развитие консультационной поддержки предпринимателей, интеграция функций поддержки (активизация Ассоциации предпринимателей по поддержке бизнеса в Белокалитвинском районе).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9A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>Автономной некоммерческой организаци</w:t>
            </w:r>
            <w:r>
              <w:rPr>
                <w:rStyle w:val="Style_4_ch"/>
                <w:sz w:val="24"/>
              </w:rPr>
              <w:t>ей</w:t>
            </w:r>
            <w:r>
              <w:rPr>
                <w:rStyle w:val="Style_4_ch"/>
                <w:sz w:val="24"/>
              </w:rPr>
              <w:t xml:space="preserve"> -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>Микрокредитной компани</w:t>
            </w:r>
            <w:r>
              <w:rPr>
                <w:rStyle w:val="Style_4_ch"/>
                <w:sz w:val="24"/>
              </w:rPr>
              <w:t>ей</w:t>
            </w:r>
            <w:r>
              <w:rPr>
                <w:rStyle w:val="Style_4_ch"/>
                <w:sz w:val="24"/>
              </w:rPr>
              <w:t xml:space="preserve"> по поддержке предпринимательства</w:t>
            </w:r>
            <w:r>
              <w:rPr>
                <w:rStyle w:val="Style_4_ch"/>
                <w:sz w:val="24"/>
              </w:rPr>
              <w:t xml:space="preserve"> в 2025 году предоставлена финансовая поддержка 54-м субъектам на сумму 19380,0 тыс. рублей.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20000">
            <w:pPr>
              <w:widowControl w:val="1"/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9C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9F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</w:p>
        </w:tc>
      </w:tr>
      <w:tr>
        <w:trPr>
          <w:trHeight w:hRule="atLeast" w:val="567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1.5 ПОТРЕБИТЕЛЬСКИЙ РЫНОК И СФЕРА УСЛУГ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A3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A4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20000">
            <w:pPr>
              <w:keepNext w:val="1"/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20000">
            <w:pPr>
              <w:keepNext w:val="1"/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Задача 1.5.1 (приоритетное направление):</w:t>
            </w:r>
          </w:p>
          <w:p w14:paraId="A7020000">
            <w:pPr>
              <w:keepNext w:val="1"/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всех форматов торговли, в том числе розничных рынков и ярмарок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20000">
            <w:pPr>
              <w:keepNext w:val="1"/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A9020000">
            <w:pPr>
              <w:keepNext w:val="1"/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AA020000">
            <w:pPr>
              <w:keepNext w:val="1"/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20000">
            <w:pPr>
              <w:widowControl w:val="1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Развитие современных форматов торговли, в том числе электронной (информирование населения через официальные сайты, публикации в СМИ, информационные буклеты)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AF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нформирование населения через официальны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 xml:space="preserve"> сайт Администрации Белокалитвинского района, публикации в  газете «Перекресток»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1020000">
            <w:pPr>
              <w:widowControl w:val="1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Повышение качества культуры в торговле и сервисе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B4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азработаны и изготовлены методические и информационные материалы по вопросам защиты прав потребителей</w:t>
            </w:r>
            <w:r>
              <w:rPr>
                <w:sz w:val="24"/>
              </w:rPr>
              <w:t xml:space="preserve"> (календари, буклеты, блокноты)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B6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комфортной потребительской среды через развитие торговой инфраструктуры, обеспечивающей реализацию современных </w:t>
            </w:r>
            <w:r>
              <w:rPr>
                <w:sz w:val="24"/>
              </w:rPr>
              <w:t>форм торговли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Отдел экономики, малого бизнеса, инвестиций и местного самоуправления; Отдел </w:t>
            </w:r>
            <w:r>
              <w:rPr>
                <w:sz w:val="24"/>
              </w:rPr>
              <w:t>жилищно-коммунального хозяйства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B9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азработаны и изготовлены методические и информационные материалы по вопросам защиты прав потребителей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(календари, буклеты, блокноты)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1.5.2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BC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информационно-аналитической поддержки потребительского рынка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BE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BF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20000">
            <w:pPr>
              <w:widowControl w:val="1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 xml:space="preserve">Создание информационной инфраструктуры, обеспечивающей реализацию современных форм торговли, в </w:t>
            </w:r>
            <w:r>
              <w:rPr>
                <w:sz w:val="24"/>
              </w:rPr>
              <w:t>т.ч</w:t>
            </w:r>
            <w:r>
              <w:rPr>
                <w:sz w:val="24"/>
              </w:rPr>
              <w:t>.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C4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населения через официальный сайт Администрации Белокалитвинского района, публикации в  газете «Перекресток»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доступа потребителей к информации о современных формах торговли (публикации на сайте Администрации Белокалитвинского района и поселений муниципального образования, в СМИ)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C9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населения через официальный сайт Администрации Белокалитвинского района, публикации в  газете «Перекресток»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B020000">
            <w:pPr>
              <w:widowControl w:val="1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Участие хозяйствующих субъектов сферы услуг и производства в региональной системе добровольной сертификации («Сделано на Дону»).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E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В 2025</w:t>
            </w:r>
            <w:r>
              <w:rPr>
                <w:sz w:val="24"/>
              </w:rPr>
              <w:t xml:space="preserve"> году </w:t>
            </w:r>
            <w:r>
              <w:rPr>
                <w:sz w:val="24"/>
              </w:rPr>
              <w:t>велась работа по привлечению хозяйствующих субъектов 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добровольн</w:t>
            </w:r>
            <w:r>
              <w:rPr>
                <w:sz w:val="24"/>
              </w:rPr>
              <w:t>ой</w:t>
            </w:r>
            <w:r>
              <w:rPr>
                <w:sz w:val="24"/>
              </w:rPr>
              <w:t xml:space="preserve"> сертификаци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«Сделано на Дону» 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20000">
            <w:pPr>
              <w:widowControl w:val="1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 xml:space="preserve">Развитие системы мониторинга потребительского рынка, в </w:t>
            </w:r>
            <w:r>
              <w:rPr>
                <w:sz w:val="24"/>
              </w:rPr>
              <w:t>т.ч</w:t>
            </w:r>
            <w:r>
              <w:rPr>
                <w:sz w:val="24"/>
              </w:rPr>
              <w:t>.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3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Регулярный мониторинг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потребительского рынка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Наличие оперативной информации о со</w:t>
            </w:r>
            <w:r>
              <w:rPr>
                <w:sz w:val="24"/>
              </w:rPr>
              <w:t>стоянии потребительского рынка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информационной поддержки мониторинга (информирование) на сайте Администрации Белокалитвинского района и СМИ;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8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населения через официальный сайт Администрации Белокалитвинского района, публикации в  газете «Перекресток»</w:t>
            </w:r>
            <w:r>
              <w:rPr>
                <w:sz w:val="24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сбор, обработка и представление результатов мониторинга.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B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D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Наличие оперативной информации о со</w:t>
            </w:r>
            <w:r>
              <w:rPr>
                <w:sz w:val="24"/>
              </w:rPr>
              <w:t>стоянии потребительского рынка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2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Задача 1.5.3 (приоритетное направление):</w:t>
            </w:r>
          </w:p>
          <w:p w14:paraId="E002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Повышение эффективности системы защиты прав потребителей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E3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консультирования граждан, урегулирование конфликтов в досудебном порядке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8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казана консультационная помощь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гражданам, связанн</w:t>
            </w:r>
            <w:r>
              <w:rPr>
                <w:sz w:val="24"/>
              </w:rPr>
              <w:t>ая</w:t>
            </w:r>
            <w:r>
              <w:rPr>
                <w:sz w:val="24"/>
              </w:rPr>
              <w:t xml:space="preserve"> с вопросами защиты прав потребителей</w:t>
            </w:r>
            <w:r>
              <w:rPr>
                <w:sz w:val="24"/>
              </w:rPr>
              <w:t xml:space="preserve">. </w:t>
            </w:r>
            <w:r>
              <w:rPr>
                <w:rStyle w:val="Style_4_ch"/>
                <w:sz w:val="24"/>
              </w:rPr>
              <w:t>В 2025 году была оказана 31 бесплатная консультация потребителям товаров и услуг.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>У</w:t>
            </w:r>
            <w:r>
              <w:rPr>
                <w:rStyle w:val="Style_4_ch"/>
                <w:sz w:val="24"/>
              </w:rPr>
              <w:t xml:space="preserve">регулирование конфликтов в потребительской сфере </w:t>
            </w:r>
            <w:r>
              <w:rPr>
                <w:rStyle w:val="Style_4_ch"/>
                <w:sz w:val="24"/>
              </w:rPr>
              <w:t xml:space="preserve"> в до</w:t>
            </w:r>
            <w:r>
              <w:rPr>
                <w:sz w:val="24"/>
              </w:rPr>
              <w:t>судебном порядке</w:t>
            </w:r>
            <w:r>
              <w:rPr>
                <w:sz w:val="24"/>
              </w:rPr>
              <w:t xml:space="preserve"> в 100% случаев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 комплекса мер по повышению правовой грамотности и информированности потребителей и хозяйствующих субъектов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B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C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D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населения через официальный сайт Администрации Белокалитвинского района, </w:t>
            </w:r>
            <w:r>
              <w:rPr>
                <w:sz w:val="24"/>
              </w:rPr>
              <w:t>публикации</w:t>
            </w:r>
            <w:r>
              <w:rPr>
                <w:sz w:val="24"/>
              </w:rPr>
              <w:t xml:space="preserve"> в  газете «Перекресток».</w:t>
            </w:r>
          </w:p>
        </w:tc>
      </w:tr>
      <w:tr>
        <w:trPr>
          <w:trHeight w:hRule="atLeast" w:val="567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1.6 ИНВЕСТИЦИОННАЯ ДЕЯТЕЛЬНОСТЬ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F2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1.6.1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F502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механизма привлечения и дальнейшего сопровождения инвесторов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F802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A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Консультативная, организационная и методическая помощь при взаимодействии с органами власти, инвесторами</w:t>
            </w:r>
          </w:p>
          <w:p w14:paraId="FB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C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2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E02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создания благоприятной для инвестиций административной среды и формирования экономических и организационных механизмов привлечения инвестиций на территории Белокалитвинского района осуществлял свою деятельность Совет по инвестициям Белокалитвинского района, работа которого направлена на рассмотрение вопросов и урегулирования разногласий, связанных с реализацией инвестиционных проектов на территории района. 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 состояли</w:t>
            </w:r>
            <w:r>
              <w:rPr>
                <w:sz w:val="24"/>
              </w:rPr>
              <w:t xml:space="preserve">сь 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заседани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 xml:space="preserve"> Совета</w:t>
            </w:r>
            <w:r>
              <w:rPr>
                <w:sz w:val="24"/>
              </w:rPr>
              <w:t>.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2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0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общества о развитии инвестиционной деятельности в районе, в </w:t>
            </w:r>
            <w:r>
              <w:rPr>
                <w:sz w:val="24"/>
              </w:rPr>
              <w:t>т.ч</w:t>
            </w:r>
            <w:r>
              <w:rPr>
                <w:sz w:val="24"/>
              </w:rPr>
              <w:t xml:space="preserve">. при помощи </w:t>
            </w:r>
            <w:r>
              <w:rPr>
                <w:sz w:val="24"/>
              </w:rPr>
              <w:t>интернет-ресурсов</w:t>
            </w:r>
            <w:r>
              <w:rPr>
                <w:sz w:val="24"/>
              </w:rPr>
              <w:t xml:space="preserve"> и печатных изданий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3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населения через официальный сайт Администрации Белокалитвинского района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 развитии инвестиционной деятельности в районе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403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3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1.6.2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0603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механизма привлечения и дальнейшего сопровождения инвесторов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3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3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903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3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инвестиционной инфраструктуры,  </w:t>
            </w:r>
          </w:p>
          <w:p w14:paraId="0C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т.ч</w:t>
            </w:r>
            <w:r>
              <w:rPr>
                <w:sz w:val="24"/>
              </w:rPr>
              <w:t>.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D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F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 xml:space="preserve"> оперативной информации об инвестиционной деятельности </w:t>
            </w:r>
            <w:r>
              <w:rPr>
                <w:sz w:val="24"/>
              </w:rPr>
              <w:t>организаций района</w:t>
            </w:r>
            <w:r>
              <w:rPr>
                <w:sz w:val="24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3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информационной поддержки мониторинга (информирование) на сайте Администрации Белокалитвинского района и СМИ;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2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3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4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 xml:space="preserve"> информации об инвестиционной деятельности</w:t>
            </w:r>
            <w:r>
              <w:rPr>
                <w:sz w:val="24"/>
              </w:rPr>
              <w:t xml:space="preserve"> 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официальн</w:t>
            </w:r>
            <w:r>
              <w:rPr>
                <w:sz w:val="24"/>
              </w:rPr>
              <w:t>ом</w:t>
            </w:r>
            <w:r>
              <w:rPr>
                <w:sz w:val="24"/>
              </w:rPr>
              <w:t xml:space="preserve"> сайт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 Администрации Белокалитвинского района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3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сбор, обработка результатов мониторинга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7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9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об инвестиционной деятельности на  официальном сайте Администрации Белокалитвинского района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3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B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муниципально-частного партнерства (МЧП), создание привлекательных условий для реализации проектов МЧП в приоритетных отраслях (при создании социальной, транспортной инфраструктуры и т.п.)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хозяйства;</w:t>
            </w:r>
          </w:p>
          <w:p w14:paraId="1E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Комитет по управлению имуществом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F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инвестиционной привлекательности хозяйствующих субъектов муниципального образования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3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взаимодействия муниципального образования с региональными институтами поддержки инвестиционной сферы (Ростовской </w:t>
            </w:r>
            <w:r>
              <w:rPr>
                <w:sz w:val="24"/>
              </w:rPr>
              <w:t>области).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4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Соглашение о сотрудничестве с Агентством инвестиционного развития Ростовской области</w:t>
            </w:r>
          </w:p>
        </w:tc>
      </w:tr>
      <w:tr>
        <w:trPr>
          <w:trHeight w:hRule="atLeast" w:val="567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3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1.7 ФИНАНСОВАЯ ИНФРАСТРУКТУРА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7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29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3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1.7.1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2C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Повышение финансовой грамотности населения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2F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3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населения по вопросам повышения финансовой грамотности, об особенностях предпринимательства, эффективном использовании разных видов экономических инструментов, о рисках инвестирования, мошенничества, способах их предотвращения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4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населения через официальный сайт Администрации Белокалитвинского района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</w:rPr>
              <w:t>повышени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 xml:space="preserve"> уровня финансовой грамотности населения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30000">
            <w:pPr>
              <w:widowControl w:val="1"/>
              <w:spacing w:line="276" w:lineRule="auto"/>
              <w:ind w:right="0"/>
              <w:contextualSpacing w:val="1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1.7.2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37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Мониторинг и диагностика финансовой инфраструктуры муниципального образования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3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3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3A03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3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 финансовой инфраструктуры муниципального образования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D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F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Наличие оперативной информации о состоянии финансовой инфраструктуры муниципального образования</w:t>
            </w:r>
          </w:p>
        </w:tc>
      </w:tr>
      <w:tr>
        <w:trPr>
          <w:trHeight w:hRule="atLeast" w:val="567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30000">
            <w:pPr>
              <w:widowControl w:val="1"/>
              <w:spacing w:line="276" w:lineRule="auto"/>
              <w:ind w:right="0"/>
              <w:contextualSpacing w:val="1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1.8 ТУРИСТСКИЙ ПОТЕНЦИАЛ ТЕРРИТОРИЙ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2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44030000">
            <w:pPr>
              <w:widowControl w:val="1"/>
              <w:spacing w:line="240" w:lineRule="auto"/>
              <w:ind w:right="0"/>
              <w:jc w:val="both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3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46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 муниципальной программы «Развитие культуры и туризма» на период 2019-2030 гг. с учетом достигнутых показателей предыдущего этапа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самоуправления,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Отдел культуры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9030000">
            <w:pPr>
              <w:widowControl w:val="1"/>
              <w:spacing w:line="240" w:lineRule="auto"/>
              <w:ind w:right="0"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В течение 2025</w:t>
            </w:r>
            <w:r>
              <w:rPr>
                <w:sz w:val="24"/>
              </w:rPr>
              <w:t xml:space="preserve"> года осуществлялась реализация </w:t>
            </w:r>
            <w:r>
              <w:rPr>
                <w:sz w:val="24"/>
              </w:rPr>
              <w:t xml:space="preserve"> муниципальной программы</w:t>
            </w:r>
            <w:r>
              <w:rPr>
                <w:sz w:val="24"/>
              </w:rPr>
              <w:t>, которая способствует повышению туристской привлекательности района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3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4B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реализации и корректировка плана </w:t>
            </w:r>
            <w:r>
              <w:rPr>
                <w:sz w:val="24"/>
              </w:rPr>
              <w:t>мероприятий муниципальной программы на период 2019-2030 гг. с учетом достигнутых показателей предыдущего этапа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Отдел экономики, малого </w:t>
            </w:r>
            <w:r>
              <w:rPr>
                <w:sz w:val="24"/>
              </w:rPr>
              <w:t>бизнеса, инвестиций и местного самоуправления,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Отдел культуры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E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корректировка </w:t>
            </w:r>
            <w:r>
              <w:rPr>
                <w:sz w:val="24"/>
              </w:rPr>
              <w:t>показателей и объемов финансирования мероприятий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30000">
            <w:pPr>
              <w:widowControl w:val="1"/>
              <w:spacing w:line="276" w:lineRule="auto"/>
              <w:ind w:right="0"/>
              <w:contextualSpacing w:val="1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50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1.8.1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51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Популяризация туристского потенциала Белокалитвинского района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54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3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информирования потенциальной туристской аудитории о культурном и историческом наследии муниципального образования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9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населения через официальный сайт Администрации Белокалитвинского района</w:t>
            </w:r>
            <w:r>
              <w:rPr>
                <w:sz w:val="24"/>
              </w:rPr>
              <w:t>, посредством публикаций в газете «Перекресток», транслирования в «Белокалитвинской панораме» и на радио.</w:t>
            </w:r>
            <w:r>
              <w:rPr>
                <w:sz w:val="24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30000">
            <w:pPr>
              <w:widowControl w:val="1"/>
              <w:spacing w:line="276" w:lineRule="auto"/>
              <w:ind w:right="0"/>
              <w:contextualSpacing w:val="1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5B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1.8.2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5C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туристской инфраструктуры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5F030000">
            <w:pPr>
              <w:widowControl w:val="1"/>
              <w:spacing w:line="240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3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благоустройства и транспортной доступности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Администрации поселений;</w:t>
            </w:r>
          </w:p>
          <w:p w14:paraId="64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5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В поселениях района проводятся мероприятия по благоустройству территорий. Осуществляется регулярное транспортное сообщение со всеми населенными пунктами района.</w:t>
            </w:r>
          </w:p>
        </w:tc>
      </w:tr>
      <w:tr>
        <w:trPr>
          <w:trHeight w:hRule="atLeast" w:val="20"/>
        </w:trPr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30000">
            <w:pPr>
              <w:widowControl w:val="1"/>
              <w:numPr>
                <w:ilvl w:val="0"/>
                <w:numId w:val="2"/>
              </w:numPr>
              <w:ind w:right="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Эффективное взаимодействие с туроператорами в целях продвижения турпродуктов.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3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30000">
            <w:pPr>
              <w:widowControl w:val="1"/>
              <w:spacing w:line="240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</w:t>
            </w:r>
          </w:p>
        </w:tc>
        <w:tc>
          <w:tcPr>
            <w:tcW w:type="dxa" w:w="4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A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Разработан </w:t>
            </w:r>
            <w:r>
              <w:rPr>
                <w:sz w:val="24"/>
              </w:rPr>
              <w:t>турмаршрут</w:t>
            </w:r>
            <w:r>
              <w:rPr>
                <w:sz w:val="24"/>
              </w:rPr>
              <w:t xml:space="preserve"> по достопримечательностям района и представлен в минэкономразвития области</w:t>
            </w:r>
          </w:p>
        </w:tc>
      </w:tr>
    </w:tbl>
    <w:p w14:paraId="6B030000">
      <w:pPr>
        <w:widowControl w:val="1"/>
        <w:spacing w:line="276" w:lineRule="auto"/>
        <w:ind w:firstLine="709" w:left="10773"/>
        <w:jc w:val="center"/>
        <w:rPr>
          <w:sz w:val="28"/>
        </w:rPr>
      </w:pPr>
    </w:p>
    <w:p w14:paraId="6C030000">
      <w:pPr>
        <w:widowControl w:val="1"/>
        <w:spacing w:line="276" w:lineRule="auto"/>
        <w:ind w:firstLine="709" w:left="10773"/>
        <w:jc w:val="center"/>
        <w:rPr>
          <w:sz w:val="28"/>
        </w:rPr>
      </w:pPr>
    </w:p>
    <w:p w14:paraId="6D030000">
      <w:pPr>
        <w:widowControl w:val="1"/>
        <w:spacing w:line="276" w:lineRule="auto"/>
        <w:ind w:firstLine="709" w:left="10773"/>
        <w:jc w:val="center"/>
        <w:rPr>
          <w:sz w:val="28"/>
        </w:rPr>
      </w:pPr>
    </w:p>
    <w:p w14:paraId="6E030000">
      <w:pPr>
        <w:widowControl w:val="1"/>
        <w:spacing w:line="276" w:lineRule="auto"/>
        <w:ind w:firstLine="709" w:left="10773"/>
        <w:jc w:val="center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br/>
      </w:r>
    </w:p>
    <w:p w14:paraId="6F030000">
      <w:pPr>
        <w:widowControl w:val="1"/>
        <w:spacing w:line="276" w:lineRule="auto"/>
        <w:ind w:firstLine="709"/>
        <w:jc w:val="center"/>
        <w:rPr>
          <w:sz w:val="28"/>
        </w:rPr>
      </w:pPr>
      <w:r>
        <w:rPr>
          <w:sz w:val="28"/>
        </w:rPr>
        <w:t>План мероприятий (социальная политика)</w:t>
      </w:r>
      <w:r>
        <w:rPr>
          <w:sz w:val="28"/>
        </w:rPr>
        <w:br/>
      </w:r>
      <w:r>
        <w:rPr>
          <w:sz w:val="28"/>
        </w:rPr>
        <w:t xml:space="preserve">по реализации Стратегии социально-экономического развития </w:t>
      </w:r>
      <w:r>
        <w:rPr>
          <w:sz w:val="28"/>
        </w:rPr>
        <w:br/>
      </w:r>
      <w:r>
        <w:rPr>
          <w:sz w:val="28"/>
        </w:rPr>
        <w:t>Белокалитвинского района до 2030 года</w:t>
      </w:r>
    </w:p>
    <w:p w14:paraId="70030000">
      <w:pPr>
        <w:widowControl w:val="1"/>
        <w:spacing w:line="276" w:lineRule="auto"/>
        <w:ind w:firstLine="709"/>
        <w:jc w:val="center"/>
        <w:rPr>
          <w:sz w:val="28"/>
        </w:rPr>
      </w:pPr>
      <w:r>
        <w:br w:type="page"/>
      </w:r>
    </w:p>
    <w:p w14:paraId="71030000">
      <w:pPr>
        <w:widowControl w:val="1"/>
        <w:spacing w:line="276" w:lineRule="auto"/>
        <w:ind w:firstLine="709"/>
        <w:jc w:val="center"/>
        <w:rPr>
          <w:sz w:val="28"/>
        </w:rPr>
      </w:pPr>
      <w:r>
        <w:br w:type="page"/>
      </w:r>
    </w:p>
    <w:p w14:paraId="72030000">
      <w:pPr>
        <w:widowControl w:val="1"/>
        <w:spacing w:line="276" w:lineRule="auto"/>
        <w:ind w:firstLine="709"/>
        <w:jc w:val="center"/>
        <w:rPr>
          <w:sz w:val="28"/>
        </w:rPr>
      </w:pPr>
      <w:r>
        <w:br w:type="page"/>
      </w:r>
    </w:p>
    <w:p w14:paraId="73030000">
      <w:pPr>
        <w:widowControl w:val="1"/>
        <w:spacing w:line="276" w:lineRule="auto"/>
        <w:ind w:firstLine="709"/>
        <w:jc w:val="center"/>
        <w:rPr>
          <w:sz w:val="28"/>
        </w:rPr>
      </w:pPr>
      <w:r>
        <w:br w:type="page"/>
      </w:r>
    </w:p>
    <w:p w14:paraId="74030000">
      <w:pPr>
        <w:widowControl w:val="1"/>
        <w:spacing w:line="276" w:lineRule="auto"/>
        <w:ind w:firstLine="709"/>
        <w:jc w:val="center"/>
        <w:rPr>
          <w:sz w:val="28"/>
        </w:rPr>
      </w:pPr>
      <w:r>
        <w:br w:type="page"/>
      </w:r>
    </w:p>
    <w:p w14:paraId="75030000">
      <w:pPr>
        <w:widowControl w:val="1"/>
        <w:spacing w:line="276" w:lineRule="auto"/>
        <w:ind w:firstLine="709"/>
        <w:jc w:val="center"/>
        <w:rPr>
          <w:sz w:val="28"/>
        </w:rPr>
      </w:pPr>
      <w:r>
        <w:br w:type="page"/>
      </w:r>
    </w:p>
    <w:p w14:paraId="76030000">
      <w:pPr>
        <w:widowControl w:val="1"/>
        <w:spacing w:line="276" w:lineRule="auto"/>
        <w:ind w:firstLine="709"/>
        <w:jc w:val="center"/>
        <w:rPr>
          <w:sz w:val="28"/>
        </w:rPr>
      </w:pPr>
      <w:r>
        <w:br w:type="page"/>
      </w:r>
    </w:p>
    <w:p w14:paraId="77030000">
      <w:pPr>
        <w:widowControl w:val="1"/>
        <w:spacing w:line="276" w:lineRule="auto"/>
        <w:ind w:firstLine="709"/>
        <w:jc w:val="center"/>
        <w:rPr>
          <w:sz w:val="28"/>
        </w:rPr>
      </w:pPr>
    </w:p>
    <w:tbl>
      <w:tblPr>
        <w:tblStyle w:val="Style_3"/>
        <w:tblW w:type="auto" w:w="0"/>
        <w:tblInd w:type="dxa" w:w="-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862"/>
        <w:gridCol w:w="3982"/>
        <w:gridCol w:w="1870"/>
        <w:gridCol w:w="2985"/>
        <w:gridCol w:w="5012"/>
      </w:tblGrid>
      <w:tr>
        <w:trPr>
          <w:trHeight w:hRule="atLeast" w:val="20"/>
          <w:tblHeader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  <w:p w14:paraId="79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п/п</w:t>
            </w: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 мероприятия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Период реализации мероприятия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Ответственный исполнитель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7D03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Результаты за 20</w:t>
            </w:r>
            <w:r>
              <w:rPr>
                <w:b w:val="1"/>
                <w:sz w:val="24"/>
              </w:rPr>
              <w:t>25</w:t>
            </w:r>
            <w:r>
              <w:rPr>
                <w:b w:val="1"/>
                <w:sz w:val="24"/>
              </w:rPr>
              <w:t xml:space="preserve"> год</w:t>
            </w:r>
          </w:p>
        </w:tc>
      </w:tr>
      <w:tr>
        <w:trPr>
          <w:trHeight w:hRule="atLeast" w:val="20"/>
          <w:tblHeader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3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3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3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3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82030000">
            <w:pPr>
              <w:widowControl w:val="1"/>
              <w:spacing w:line="276" w:lineRule="auto"/>
              <w:ind w:righ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hRule="atLeast" w:val="567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84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 СОЦИАЛЬНАЯ ПОЛИТИКА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85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86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8703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67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89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2.1 ЗДРАВООХРАНЕНИЕ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8A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8B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8C030000">
            <w:pPr>
              <w:widowControl w:val="1"/>
              <w:spacing w:line="276" w:lineRule="auto"/>
              <w:ind w:right="0"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3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8E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Реализация муниципальной программы «Развитие здравоохранения» на период 2019-2030 гг. с учетом достигнутых показателей предыдущего этапа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8F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90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Сектор по социальным вопросам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91030000">
            <w:pPr>
              <w:widowControl w:val="1"/>
              <w:spacing w:line="240" w:lineRule="auto"/>
              <w:ind w:right="0"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реализация  муниципальной программы, которая способствует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овышени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 xml:space="preserve"> доступности и качества оказания медицинской помощи населению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3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93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реализации и корректировка плана мероприятий муниципальной программы на период 2019-2030 гг. с учетом достигнутых показателей предыдущего этапа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94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95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96030000">
            <w:pPr>
              <w:widowControl w:val="1"/>
              <w:spacing w:line="240" w:lineRule="auto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года осуществлялась   корректировка показателей и объемов финансирования мероприятий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98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2.1.1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99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Обеспечение оптимальной доступности для населения медицинских организаций, оказывающих первичную медико-санитарную помощь, и оптимизация их работы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9A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9B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9C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67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3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Замена имеющихся и создание новых фельдшерско-акушерских пунктов, врачебных амбулаторий в сельских населенных пунктах Белокалитвинского района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F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A1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2025</w:t>
            </w:r>
            <w:r>
              <w:rPr>
                <w:sz w:val="24"/>
              </w:rPr>
              <w:t xml:space="preserve"> г. </w:t>
            </w:r>
            <w:r>
              <w:rPr>
                <w:sz w:val="24"/>
              </w:rPr>
              <w:t>установк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фельдшерско-акушерских пунктов, врачебных амбулаторий в сельских населенных пунктах Белокалитвинского района</w:t>
            </w:r>
            <w:r>
              <w:rPr>
                <w:sz w:val="24"/>
              </w:rPr>
              <w:t xml:space="preserve"> не проводил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сь </w:t>
            </w:r>
          </w:p>
        </w:tc>
      </w:tr>
      <w:tr>
        <w:trPr>
          <w:trHeight w:hRule="atLeast" w:val="567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3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Газификация учреждений здравоохранения с целью технического перевооружения системы </w:t>
            </w:r>
            <w:r>
              <w:rPr>
                <w:sz w:val="24"/>
              </w:rPr>
              <w:t>газопотребления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A6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Укрепление материально-технической базы </w:t>
            </w:r>
            <w:r>
              <w:rPr>
                <w:sz w:val="24"/>
              </w:rPr>
              <w:t>учреждений здравоохранения</w:t>
            </w:r>
          </w:p>
        </w:tc>
      </w:tr>
      <w:tr>
        <w:trPr>
          <w:trHeight w:hRule="atLeast" w:val="567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3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санитарного автотранспорта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AB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 xml:space="preserve"> 2</w:t>
            </w:r>
            <w:r>
              <w:rPr>
                <w:sz w:val="24"/>
              </w:rPr>
              <w:t xml:space="preserve"> автомобиля:</w:t>
            </w:r>
            <w:r>
              <w:rPr>
                <w:sz w:val="24"/>
              </w:rPr>
              <w:t xml:space="preserve"> Лада </w:t>
            </w:r>
            <w:r>
              <w:rPr>
                <w:sz w:val="24"/>
              </w:rPr>
              <w:t xml:space="preserve">Гранта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для поликлиники в г.Белая Калитва)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Лада Нива для транспортировки паллиативных больных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AD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2.1.2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AE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Кадровое обеспечение системы здравоохранения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AF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B0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B1030000">
            <w:pPr>
              <w:widowControl w:val="1"/>
              <w:spacing w:line="276" w:lineRule="auto"/>
              <w:ind/>
              <w:jc w:val="both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3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B3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учреждений здравоохранения медицинскими кадрами в соответствии с потребностями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B4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B5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B6030000">
            <w:pPr>
              <w:widowControl w:val="1"/>
              <w:spacing w:line="240" w:lineRule="auto"/>
              <w:ind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Ежегодно выделяются денежные средства на оплату коммерческого найма жилого помещения иногородним врачам, работающим в учреждениях здравоохранения района и не имеющим собственного жилья. </w:t>
            </w:r>
            <w:r>
              <w:rPr>
                <w:sz w:val="24"/>
              </w:rPr>
              <w:t>В 2025</w:t>
            </w:r>
            <w:r>
              <w:rPr>
                <w:sz w:val="24"/>
              </w:rPr>
              <w:t xml:space="preserve"> году денежные средства выделялись </w:t>
            </w:r>
            <w:r>
              <w:rPr>
                <w:sz w:val="24"/>
              </w:rPr>
              <w:t>18</w:t>
            </w:r>
            <w:r>
              <w:rPr>
                <w:sz w:val="24"/>
              </w:rPr>
              <w:t xml:space="preserve"> врачам до 15 000 рублей ежемесячно. 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3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B8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специалистов для учреждений здравоохранения района на основе целевой контрактной подготовки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B9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BA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BB03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целевиков</w:t>
            </w:r>
            <w:r>
              <w:rPr>
                <w:sz w:val="24"/>
              </w:rPr>
              <w:t>, обучающи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ся в ФГБОУ ВО «Рост</w:t>
            </w:r>
            <w:r>
              <w:rPr>
                <w:sz w:val="24"/>
              </w:rPr>
              <w:t>овский</w:t>
            </w:r>
            <w:r>
              <w:rPr>
                <w:sz w:val="24"/>
              </w:rPr>
              <w:t xml:space="preserve"> ГМУ»,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 целевика, обучающихся в ФГБОУ ВО «Волгоградский</w:t>
            </w:r>
            <w:r>
              <w:rPr>
                <w:sz w:val="24"/>
              </w:rPr>
              <w:t xml:space="preserve"> ГМУ»,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 бюджета Белокалитвинского района получают ежемесячную доплату к стипендии в размере 1000 рублей. </w:t>
            </w:r>
            <w:r>
              <w:rPr>
                <w:sz w:val="24"/>
              </w:rPr>
              <w:t xml:space="preserve"> 4</w:t>
            </w:r>
            <w:r>
              <w:rPr>
                <w:sz w:val="24"/>
              </w:rPr>
              <w:t xml:space="preserve"> студентов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обучающихся в </w:t>
            </w:r>
            <w:r>
              <w:rPr>
                <w:sz w:val="24"/>
              </w:rPr>
              <w:t>ГБПОУ РО «Каменск-Шахтинский медицинский колледж»,</w:t>
            </w:r>
          </w:p>
          <w:p w14:paraId="BC030000">
            <w:pPr>
              <w:widowControl w:val="1"/>
              <w:spacing w:line="240" w:lineRule="auto"/>
              <w:ind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получают ежемесячную доплату к стипендии в размере 500 рублей</w:t>
            </w:r>
          </w:p>
        </w:tc>
      </w:tr>
      <w:tr>
        <w:trPr>
          <w:trHeight w:hRule="atLeast" w:val="567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BE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2.2 ОБРАЗОВАНИЕ И НАУКА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BF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C0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C103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3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C3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Реализация муниципальной программы «Развитие образования» на период 2019-2030 гг. с учетом достигнутых показателей предыдущего этапа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C4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C5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C603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реализация  муниципальной программы, которая способствует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лучшени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 xml:space="preserve"> условий труда педагогов и обучения, повышение качества образования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3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C8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реализации и корректировка плана мероприятий муниципальной программы на период 2019-2030 гг. с учетом достигнутых показателей предыдущего этапа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C9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CA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CB03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  корректировка показателей и объемов финансирования мероприятий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30000">
            <w:pPr>
              <w:widowControl w:val="1"/>
              <w:spacing w:line="21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CD030000">
            <w:pPr>
              <w:widowControl w:val="1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2.2.1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CE030000">
            <w:pPr>
              <w:widowControl w:val="1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Создание новых мест в общеобразовательных организациях, в том числе путем строительства школ с использованием типовых и экономически эффективных проектов и модернизации существующей инфраструктуры школ (капитальный ремонт, реконструкция, пристройка к зданиям школ)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CF030000">
            <w:pPr>
              <w:widowControl w:val="1"/>
              <w:spacing w:line="21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D0030000">
            <w:pPr>
              <w:widowControl w:val="1"/>
              <w:spacing w:line="21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D1030000">
            <w:pPr>
              <w:widowControl w:val="1"/>
              <w:spacing w:line="21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3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D3030000">
            <w:pPr>
              <w:widowControl w:val="1"/>
              <w:spacing w:line="216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Строительство блока школы в МБОУ СОШ №5 на 200 обучающихся; строительство общеобразовательной организации на территории микрорайона п. Заречный, 2 на 600 обучающихся; строительство общеобразовательной организации на территории бывшего ПУ №66, ул. Строительная, 6, на 200 обучающихся; открытие общеобразовательной организации по адресу: г. Белая Калитва, ул. Строительная, 2, на 100 обучающихся; строительство общеобразовательной организации на территории микрорайона Казачий по ул. Давыдова (ул. Крайняя), на 500 обучающихся.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D403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2025-2030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D5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 и связи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D603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30000">
            <w:pPr>
              <w:keepLines w:val="1"/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D8030000">
            <w:pPr>
              <w:keepLines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2.2.2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D9030000">
            <w:pPr>
              <w:keepLines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DA030000">
            <w:pPr>
              <w:keepLines w:val="1"/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2022-2025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DB030000">
            <w:pPr>
              <w:keepLines w:val="1"/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DC030000">
            <w:pPr>
              <w:rPr>
                <w:sz w:val="24"/>
              </w:rPr>
            </w:pP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rStyle w:val="Style_4_ch"/>
                <w:sz w:val="24"/>
              </w:rPr>
              <w:t xml:space="preserve">В 2025 году в рамках </w:t>
            </w:r>
            <w:r>
              <w:rPr>
                <w:rStyle w:val="Style_4_ch"/>
                <w:sz w:val="24"/>
              </w:rPr>
              <w:t xml:space="preserve">регионального проекта «Все лучшее детям» </w:t>
            </w:r>
            <w:r>
              <w:rPr>
                <w:rStyle w:val="Style_4_ch"/>
                <w:sz w:val="24"/>
              </w:rPr>
              <w:t xml:space="preserve">национального проекта </w:t>
            </w:r>
            <w:r>
              <w:rPr>
                <w:rStyle w:val="Style_4_ch"/>
                <w:sz w:val="24"/>
              </w:rPr>
              <w:t>«Молодежь и дети»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>проводилось</w:t>
            </w:r>
            <w:r>
              <w:rPr>
                <w:rStyle w:val="Style_4_ch"/>
                <w:sz w:val="24"/>
              </w:rPr>
              <w:t xml:space="preserve"> оснащение предметных кабинетов для реализации образовательных программ </w:t>
            </w:r>
            <w:r>
              <w:rPr>
                <w:rStyle w:val="Style_4_ch"/>
                <w:sz w:val="24"/>
              </w:rPr>
              <w:t>по учебным предметам «Изобразительное искусство» и «Музыка» и «Физика»</w:t>
            </w:r>
            <w:r>
              <w:rPr>
                <w:rStyle w:val="Style_4_ch"/>
                <w:sz w:val="24"/>
              </w:rPr>
              <w:t>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30000">
            <w:pPr>
              <w:keepLines w:val="1"/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DE030000">
            <w:pPr>
              <w:keepLines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2.2.3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DF030000">
            <w:pPr>
              <w:keepLines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Увеличение доли педагогов, прошедших обучение по обновленным программам повышения квалификации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E0030000">
            <w:pPr>
              <w:keepLines w:val="1"/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E1030000">
            <w:pPr>
              <w:keepLines w:val="1"/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E2030000">
            <w:pPr>
              <w:keepLines w:val="1"/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2025</w:t>
            </w:r>
            <w:r>
              <w:rPr>
                <w:sz w:val="24"/>
              </w:rPr>
              <w:t xml:space="preserve"> году деятельность МБУ ИМЦ была направлена на совершенствование методической работы в соответствии с Концепцией создания муниципальной системы научно-методического сопровождения педагогических работников и управленческих кадров Белокалитвинского района, развитие профессиональных компетенций педагогических и руководящих работников образовательных организаций как основы повышения качества образования в рамках реализации федерального проекта «Современная школа».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3030000">
            <w:pPr>
              <w:keepLines w:val="1"/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E4030000">
            <w:pPr>
              <w:keepLines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2.2.4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E5030000">
            <w:pPr>
              <w:keepLines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Создание условий для профессионального роста педагогических работников общеобразовательных организаций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E6030000">
            <w:pPr>
              <w:keepLines w:val="1"/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E7030000">
            <w:pPr>
              <w:keepLines w:val="1"/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E8030000">
            <w:pPr>
              <w:keepLines w:val="1"/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Развитие кадрового потенциала педагогических работников общеобразовательных организаций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3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EA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педагогов общеобразовательных организаций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EB03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EC03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ED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общеобразовательных организациях района в 2025</w:t>
            </w:r>
            <w:r>
              <w:rPr>
                <w:sz w:val="24"/>
              </w:rPr>
              <w:t xml:space="preserve"> году работало </w:t>
            </w:r>
            <w:r>
              <w:rPr>
                <w:sz w:val="24"/>
              </w:rPr>
              <w:t>1600</w:t>
            </w:r>
            <w:r>
              <w:rPr>
                <w:sz w:val="24"/>
              </w:rPr>
              <w:t xml:space="preserve"> педагогических работник</w:t>
            </w:r>
            <w:r>
              <w:rPr>
                <w:sz w:val="24"/>
              </w:rPr>
              <w:t>ов</w:t>
            </w:r>
            <w:r>
              <w:rPr>
                <w:sz w:val="24"/>
              </w:rPr>
              <w:t>, из них более 70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% учителей имели высшую и первую квалификационную категорию.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3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EF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2.2.5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F0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Совершенствовать систему выявления, поддержки и сопровождения талантливых детей через изучение интересов и потребностей как в общеобразовательных учреждениях, так и в учреждениях дополнительного образования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F103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F203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F3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Белокалитвинском районе большое внимание уделяется развитию талантливой молодежи. </w:t>
            </w:r>
          </w:p>
          <w:p w14:paraId="F4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участия обучающихся образовательных организаций Белокалитвинского района в региональном этапе Всероссийской олимпиады школьников присуждено 8</w:t>
            </w:r>
            <w:r>
              <w:rPr>
                <w:sz w:val="24"/>
              </w:rPr>
              <w:t xml:space="preserve"> призовых мест: 8 призеров.</w:t>
            </w:r>
            <w:r>
              <w:rPr>
                <w:sz w:val="24"/>
              </w:rPr>
              <w:t xml:space="preserve">  В</w:t>
            </w:r>
            <w:r>
              <w:rPr>
                <w:sz w:val="24"/>
              </w:rPr>
              <w:t xml:space="preserve"> 2025 году возросло количество обучающихся, принявших участие в дистанционных олимпиадах.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3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F6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2.2.6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F7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Создание в образовательных организациях, расположенных в сельской местности, условий для занятий физической культурой и </w:t>
            </w:r>
            <w:r>
              <w:rPr>
                <w:b w:val="1"/>
                <w:sz w:val="24"/>
              </w:rPr>
              <w:t>спортом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F8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F9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FA03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принимали участие в мероприятиях по внедрению Всероссийского физкультурно-спортивного комп</w:t>
            </w:r>
            <w:r>
              <w:rPr>
                <w:sz w:val="24"/>
              </w:rPr>
              <w:t>лекса «Готов к труду и обороне»</w:t>
            </w:r>
            <w:r>
              <w:rPr>
                <w:sz w:val="24"/>
              </w:rPr>
              <w:t xml:space="preserve">. 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3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FC03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Капитальный ремонт спортивного зала МБОУ Ленинская СОШ с целью  обновления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FD03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2024-202</w:t>
            </w:r>
            <w:r>
              <w:rPr>
                <w:sz w:val="24"/>
              </w:rPr>
              <w:t>6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FE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 xml:space="preserve">Отдел образования, </w:t>
            </w:r>
          </w:p>
          <w:p w14:paraId="FF03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 и связи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00040000">
            <w:pPr>
              <w:widowControl w:val="1"/>
              <w:spacing w:line="240" w:lineRule="auto"/>
              <w:ind/>
              <w:jc w:val="both"/>
              <w:rPr>
                <w:sz w:val="24"/>
                <w:shd w:fill="92FF99" w:val="clear"/>
              </w:rPr>
            </w:pPr>
            <w:r>
              <w:rPr>
                <w:sz w:val="24"/>
              </w:rPr>
              <w:t>В целях реализации мероприятий по созданию в общеобразовательных организациях, расположенных в сельской местности, условий для занятий физической культурой и спортом, Администрацией Белокалитвинского района получен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положительн</w:t>
            </w:r>
            <w:r>
              <w:rPr>
                <w:sz w:val="24"/>
              </w:rPr>
              <w:t>ое заключение</w:t>
            </w:r>
            <w:r>
              <w:rPr>
                <w:sz w:val="24"/>
              </w:rPr>
              <w:t xml:space="preserve"> ГАУ РО «Государственная экспертиза проектной документации и результатов инженерных изысканий» по объекту «Капитальный ремонт спортивного зала МБОУ Ленинская СОШ. В настоящее время определяется источник финансирования.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2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2.3 КУЛЬТУРА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3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4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5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07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Реализация муниципальной программы «Развитие культуры и туризма» на период 2019-2030 гг. с учетом достигнутых показателей предыдущего этапа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08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09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Отдел культуры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0A04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реализация  муниципальной программы, которая способствует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овышени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 xml:space="preserve"> качества работы учреждений культуры и их материально-технического оснащения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0C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реализации и корректировка плана мероприятий муниципальной программы на период 2019-2030 гг. с учетом достигнутых показателей предыдущего этапа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0D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0E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Отдел культуры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0F04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  корректировка показателей и объемов финансирования мероприятий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11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2.3.1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12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Повышение доступности и качества услуг учреждений культуры и искусства для населения независимо от уровня доходов, социального статуса и места проживания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13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14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15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17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Создание (реконструкция) культурно-досуговых организаций клубного типа на территориях сельских поселений Белокалитвинского района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18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19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культуры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1A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  <w:p w14:paraId="1B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>Капитальный ремонт кровли здания Какичевского сельского дома культуры</w:t>
            </w:r>
            <w:r>
              <w:rPr>
                <w:rStyle w:val="Style_4_ch"/>
                <w:sz w:val="24"/>
              </w:rPr>
              <w:t> 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1D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Газификация домов культуры Богураевского сельского поселения; домов культуры Нижнепоповской клубной системы; домов культуры Литвиновской клубной системы; библиотек Белокалитвинского </w:t>
            </w:r>
            <w:r>
              <w:rPr>
                <w:sz w:val="24"/>
              </w:rPr>
              <w:t>района; домов культуры Рудаковского сельского поселения; домов культуры Грушево-Дубовского сельского поселения.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1E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1F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связи, отдел культуры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20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22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Установка модульного клуба в х. Апанасовка с численностью населения 757 человек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23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2024-2030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24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связи, отдел культуры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25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27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2.3.2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28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Повышение привлекательности учреждений культуры Белокалитвинского района для жителей и гостей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29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2A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2B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2D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Реализация музейно-выставочных проектов, фестивалей учреждениями культуры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2E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2F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культуры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30040000">
            <w:pPr>
              <w:widowControl w:val="1"/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В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году состоялось </w:t>
            </w:r>
            <w:r>
              <w:rPr>
                <w:rFonts w:ascii="Times New Roman" w:hAnsi="Times New Roman"/>
                <w:sz w:val="24"/>
              </w:rPr>
              <w:t xml:space="preserve">2101,4 тысяч </w:t>
            </w:r>
            <w:r>
              <w:rPr>
                <w:rFonts w:ascii="Times New Roman" w:hAnsi="Times New Roman"/>
                <w:sz w:val="24"/>
              </w:rPr>
              <w:t xml:space="preserve">посещений культурных мероприятий, </w:t>
            </w:r>
            <w:r>
              <w:rPr>
                <w:sz w:val="24"/>
              </w:rPr>
              <w:t>выставок и экспозиций музея</w:t>
            </w:r>
            <w:r>
              <w:rPr>
                <w:sz w:val="24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32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2.3.3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33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Сохранение культурно-исторического наследия Белокалитвинского района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34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35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36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38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Реставрация памятников истории и культуры, расположенных на территории района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39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3A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культуры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3B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2025 году осуществлен к</w:t>
            </w:r>
            <w:r>
              <w:rPr>
                <w:sz w:val="24"/>
              </w:rPr>
              <w:t xml:space="preserve">апитальный ремонт </w:t>
            </w:r>
            <w:r>
              <w:rPr>
                <w:rFonts w:ascii="YS Text" w:hAnsi="YS Text"/>
                <w:b w:val="1"/>
                <w:i w:val="0"/>
                <w:caps w:val="0"/>
                <w:color w:val="000000"/>
                <w:spacing w:val="0"/>
                <w:sz w:val="24"/>
                <w:highlight w:val="white"/>
              </w:rPr>
              <w:t xml:space="preserve"> </w:t>
            </w:r>
            <w:r>
              <w:rPr>
                <w:rStyle w:val="Style_4_ch"/>
                <w:sz w:val="24"/>
              </w:rPr>
              <w:t>скульптурной композиции «Жертвам политических репрессий»</w:t>
            </w:r>
            <w:r>
              <w:rPr>
                <w:rStyle w:val="Style_4_ch"/>
                <w:sz w:val="24"/>
              </w:rPr>
              <w:t> </w:t>
            </w:r>
            <w:r>
              <w:rPr>
                <w:rStyle w:val="Style_4_ch"/>
                <w:sz w:val="24"/>
              </w:rPr>
              <w:t>в г. Бел</w:t>
            </w:r>
            <w:r>
              <w:rPr>
                <w:rStyle w:val="Style_4_ch"/>
                <w:sz w:val="24"/>
              </w:rPr>
              <w:t>ой Калитве (улица Большая, 11).</w:t>
            </w:r>
            <w:r>
              <w:rPr>
                <w:rStyle w:val="Style_4_ch"/>
                <w:sz w:val="24"/>
              </w:rPr>
              <w:t> 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40000">
            <w:pPr>
              <w:keepNext w:val="1"/>
              <w:widowControl w:val="1"/>
              <w:spacing w:after="200"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3D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2.4 ФИЗИЧЕСКАЯ КУЛЬТУРА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И СПОРТ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3E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3F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40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42040000">
            <w:pPr>
              <w:keepNext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Задача 2.4.1 (приоритетное направление): Развитие спортивной инфраструктуры и увеличение единовременной пропускной способности спортивных объектов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43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44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45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47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 и введение в эксплуатацию новых спортивных объектов (спортивных залов, полей и площадок и др.)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48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49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физической культуре и спорту,</w:t>
            </w:r>
          </w:p>
          <w:p w14:paraId="4A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4B040000">
            <w:pPr>
              <w:keepNext w:val="1"/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  <w:p w14:paraId="4C040000">
            <w:pPr>
              <w:keepNext w:val="1"/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  <w:p w14:paraId="4D040000">
            <w:pPr>
              <w:keepNext w:val="1"/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40000">
            <w:pPr>
              <w:keepLines w:val="1"/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4F040000">
            <w:pPr>
              <w:keepLines w:val="1"/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Модернизация и капитальный ремонт существующих спортивных объектов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50040000">
            <w:pPr>
              <w:keepLines w:val="1"/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51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физической культуре и спорту,</w:t>
            </w:r>
          </w:p>
          <w:p w14:paraId="52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53040000">
            <w:pPr>
              <w:keepLines w:val="1"/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  <w:p w14:paraId="54040000">
            <w:pPr>
              <w:keepLines w:val="1"/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56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2.4.2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57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Рост вовлеченности жителей </w:t>
            </w:r>
            <w:r>
              <w:rPr>
                <w:b w:val="1"/>
                <w:sz w:val="24"/>
              </w:rPr>
              <w:t>сельских поселений в занятия физической культурой и спортом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58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59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5A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5C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Создание и развитие спортивных досуговых центров, клубов, кружков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5D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5E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5F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Развитие спортивных досуговых центров, клубов, кружков</w:t>
            </w:r>
            <w:r>
              <w:rPr>
                <w:sz w:val="24"/>
              </w:rPr>
              <w:t xml:space="preserve">. </w:t>
            </w:r>
          </w:p>
          <w:p w14:paraId="60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2025</w:t>
            </w:r>
            <w:r>
              <w:rPr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 xml:space="preserve">году </w:t>
            </w:r>
            <w:r>
              <w:rPr>
                <w:rStyle w:val="Style_4_ch"/>
                <w:sz w:val="24"/>
              </w:rPr>
              <w:t>пр</w:t>
            </w:r>
            <w:r>
              <w:rPr>
                <w:rStyle w:val="Style_4_ch"/>
                <w:sz w:val="24"/>
              </w:rPr>
              <w:t xml:space="preserve">оведены областные соревнования, в том числе «Кожаный </w:t>
            </w:r>
            <w:r>
              <w:rPr>
                <w:rStyle w:val="Style_4_ch"/>
                <w:sz w:val="24"/>
              </w:rPr>
              <w:t>мяч</w:t>
            </w:r>
            <w:r>
              <w:rPr>
                <w:rStyle w:val="Style_4_ch"/>
                <w:sz w:val="24"/>
              </w:rPr>
              <w:t>-Школьная</w:t>
            </w:r>
            <w:r>
              <w:rPr>
                <w:rStyle w:val="Style_4_ch"/>
                <w:sz w:val="24"/>
              </w:rPr>
              <w:t xml:space="preserve"> футбольная лига»,</w:t>
            </w:r>
            <w:r>
              <w:rPr>
                <w:rStyle w:val="Style_4_ch"/>
                <w:sz w:val="24"/>
              </w:rPr>
              <w:t xml:space="preserve"> «Фестиваль детской дворовой футб</w:t>
            </w:r>
            <w:r>
              <w:rPr>
                <w:rStyle w:val="Style_4_ch"/>
                <w:sz w:val="24"/>
              </w:rPr>
              <w:t xml:space="preserve">ольной лиги», </w:t>
            </w:r>
            <w:r>
              <w:rPr>
                <w:rStyle w:val="Style_4_ch"/>
                <w:sz w:val="24"/>
              </w:rPr>
              <w:t>«Школьная лига Ростовской области по волейболу «Серебряный мяч»</w:t>
            </w:r>
            <w:r>
              <w:rPr>
                <w:rStyle w:val="Style_4_ch"/>
                <w:sz w:val="24"/>
              </w:rPr>
              <w:t xml:space="preserve">, </w:t>
            </w:r>
            <w:r>
              <w:rPr>
                <w:rStyle w:val="Style_4_ch"/>
                <w:sz w:val="24"/>
              </w:rPr>
              <w:t>«Школьна</w:t>
            </w:r>
            <w:r>
              <w:rPr>
                <w:rStyle w:val="Style_4_ch"/>
                <w:sz w:val="24"/>
              </w:rPr>
              <w:t xml:space="preserve">я регбийная Ростсельмаш – лига», </w:t>
            </w:r>
            <w:r>
              <w:rPr>
                <w:rStyle w:val="Style_4_ch"/>
                <w:sz w:val="24"/>
              </w:rPr>
              <w:t>«Росэнергоатом – Школьная лига Рост</w:t>
            </w:r>
            <w:r>
              <w:rPr>
                <w:rStyle w:val="Style_4_ch"/>
                <w:sz w:val="24"/>
              </w:rPr>
              <w:t>овской области по баскетболу</w:t>
            </w:r>
            <w:r>
              <w:rPr>
                <w:rStyle w:val="Style_4_ch"/>
                <w:sz w:val="24"/>
              </w:rPr>
              <w:t>»</w:t>
            </w:r>
            <w:r>
              <w:rPr>
                <w:rStyle w:val="Style_4_ch"/>
                <w:sz w:val="24"/>
              </w:rPr>
              <w:t>; «Уличная баскетбольная лига»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62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Развитие индустрии отдыха и оздоровления молодежи в каникулярное время и во время летнего отдыха на основе системы спортивно-оздоровительных лагерей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63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64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физической культуре и спорту,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65040000">
            <w:pPr>
              <w:widowControl w:val="1"/>
              <w:spacing w:line="240" w:lineRule="auto"/>
              <w:ind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В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году </w:t>
            </w:r>
            <w:r>
              <w:rPr>
                <w:sz w:val="24"/>
              </w:rPr>
              <w:t>был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приобретены</w:t>
            </w:r>
            <w:r>
              <w:rPr>
                <w:sz w:val="24"/>
              </w:rPr>
              <w:t xml:space="preserve"> бесплатные </w:t>
            </w:r>
            <w:r>
              <w:rPr>
                <w:sz w:val="24"/>
              </w:rPr>
              <w:t>523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путевки в санаторные оздоровительные и загородные оздоровительные лагеря для детей из малоимущих семей, детей участников СВО и детей, находящихся в социально опасном положении. 148 гражданам выплачена компенсация за самостоятельно приобретенные путевки. На базе образовательных организаций в 23 лагерях с дневным пребыванием оздоровление прошли 3363 обучающихся, из которых 82% из семей, оказавшихся в трудной жизненной ситуации, малоимущих, многодетных, неполных. 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67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Эффективная пропаганда и привлечение жителей района к социально уместным формам регулярных занятий физической культурой, массовым спортом и иной двигательной активностью оздоровительного характера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68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69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6A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20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rStyle w:val="Style_4_ch"/>
                <w:sz w:val="24"/>
              </w:rPr>
              <w:t xml:space="preserve">проведены </w:t>
            </w:r>
            <w:r>
              <w:rPr>
                <w:rStyle w:val="Style_4_ch"/>
                <w:sz w:val="24"/>
              </w:rPr>
              <w:t xml:space="preserve">237 </w:t>
            </w:r>
            <w:r>
              <w:rPr>
                <w:rStyle w:val="Style_4_ch"/>
                <w:sz w:val="24"/>
              </w:rPr>
              <w:t>муниципальных</w:t>
            </w:r>
            <w:r>
              <w:rPr>
                <w:rStyle w:val="Style_4_ch"/>
                <w:sz w:val="24"/>
              </w:rPr>
              <w:t>, 6</w:t>
            </w:r>
            <w:r>
              <w:rPr>
                <w:rStyle w:val="Style_4_ch"/>
                <w:sz w:val="24"/>
              </w:rPr>
              <w:t xml:space="preserve"> областных </w:t>
            </w:r>
            <w:r>
              <w:rPr>
                <w:rStyle w:val="Style_4_ch"/>
                <w:sz w:val="24"/>
              </w:rPr>
              <w:t>и 1 всероссийское спортивное мероприятие.</w:t>
            </w:r>
          </w:p>
          <w:p w14:paraId="6B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Проведена </w:t>
            </w:r>
            <w:r>
              <w:rPr>
                <w:sz w:val="24"/>
              </w:rPr>
              <w:t>Всероссийская акция «Зарядка с чемпионом» вместе с Олимпий</w:t>
            </w:r>
            <w:r>
              <w:rPr>
                <w:sz w:val="24"/>
              </w:rPr>
              <w:t>ской чемпионкой Анной Чичеровой.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6D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количества развиваемых видов спорта на территории района с учетом интересов различных категорий граждан, в </w:t>
            </w:r>
            <w:r>
              <w:rPr>
                <w:sz w:val="24"/>
              </w:rPr>
              <w:t>т.ч</w:t>
            </w:r>
            <w:r>
              <w:rPr>
                <w:sz w:val="24"/>
              </w:rPr>
              <w:t xml:space="preserve">. открытие </w:t>
            </w:r>
            <w:r>
              <w:rPr>
                <w:sz w:val="24"/>
              </w:rPr>
              <w:t>новых (или конверсия старых) отделений в организациях дополнительного образования спортивной направленности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6E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6F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70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>В 2025</w:t>
            </w:r>
            <w:r>
              <w:rPr>
                <w:rStyle w:val="Style_4_ch"/>
                <w:sz w:val="24"/>
              </w:rPr>
              <w:t xml:space="preserve"> г.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 xml:space="preserve">подготовлены </w:t>
            </w:r>
            <w:r>
              <w:rPr>
                <w:rStyle w:val="Style_4_ch"/>
                <w:sz w:val="24"/>
              </w:rPr>
              <w:t>618 спортсменов</w:t>
            </w:r>
            <w:r>
              <w:rPr>
                <w:rStyle w:val="Style_4_ch"/>
                <w:sz w:val="24"/>
              </w:rPr>
              <w:t xml:space="preserve"> массовых разряд</w:t>
            </w:r>
            <w:r>
              <w:rPr>
                <w:rStyle w:val="Style_4_ch"/>
                <w:sz w:val="24"/>
              </w:rPr>
              <w:t>ов, из них: 1 разряд присвоен 21 спортсмену, КМС выполнил 32 спортсменов</w:t>
            </w:r>
            <w:r>
              <w:rPr>
                <w:rStyle w:val="Style_4_ch"/>
                <w:sz w:val="24"/>
              </w:rPr>
              <w:t>;</w:t>
            </w:r>
          </w:p>
          <w:p w14:paraId="71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 xml:space="preserve">- </w:t>
            </w:r>
            <w:r>
              <w:rPr>
                <w:rStyle w:val="Style_4_ch"/>
                <w:sz w:val="24"/>
              </w:rPr>
              <w:t>белокалитвинские</w:t>
            </w:r>
            <w:r>
              <w:rPr>
                <w:rStyle w:val="Style_4_ch"/>
                <w:sz w:val="24"/>
              </w:rPr>
              <w:t xml:space="preserve"> спортсмены завоевали призовые места на Чемпионатах и Первенствах Ростовской области по гребле на байдарках и каноэ, плаванию, академической гребле, дзюдо,</w:t>
            </w:r>
            <w:r>
              <w:rPr>
                <w:rStyle w:val="Style_4_ch"/>
                <w:sz w:val="24"/>
              </w:rPr>
              <w:t xml:space="preserve"> легкой атлетике, самбо, настольному теннису, кикбоксингу, боксу;</w:t>
            </w:r>
          </w:p>
          <w:p w14:paraId="72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>- команда Белокалитв</w:t>
            </w:r>
            <w:r>
              <w:rPr>
                <w:rStyle w:val="Style_4_ch"/>
                <w:sz w:val="24"/>
              </w:rPr>
              <w:t>инского района заняла 2 место</w:t>
            </w:r>
            <w:r>
              <w:rPr>
                <w:rStyle w:val="Style_4_ch"/>
                <w:sz w:val="24"/>
              </w:rPr>
              <w:t xml:space="preserve"> в груп</w:t>
            </w:r>
            <w:r>
              <w:rPr>
                <w:rStyle w:val="Style_4_ch"/>
                <w:sz w:val="24"/>
              </w:rPr>
              <w:t>пе городов и районов в Спартакиаде Дона 2025 среди трудящихся и заняла 2 место в абсолютном зачете</w:t>
            </w:r>
            <w:r>
              <w:rPr>
                <w:rStyle w:val="Style_4_ch"/>
                <w:sz w:val="24"/>
              </w:rPr>
              <w:t>;</w:t>
            </w:r>
          </w:p>
          <w:p w14:paraId="73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 xml:space="preserve">- сборная района заняла 1 </w:t>
            </w:r>
            <w:r>
              <w:rPr>
                <w:rStyle w:val="Style_4_ch"/>
                <w:sz w:val="24"/>
              </w:rPr>
              <w:t>место в группе городов и районов в Спарта</w:t>
            </w:r>
            <w:r>
              <w:rPr>
                <w:rStyle w:val="Style_4_ch"/>
                <w:sz w:val="24"/>
              </w:rPr>
              <w:t>киаде Дона 2025 среди пенсионеров и стала победителем</w:t>
            </w:r>
            <w:r>
              <w:rPr>
                <w:rStyle w:val="Style_4_ch"/>
                <w:sz w:val="24"/>
              </w:rPr>
              <w:t xml:space="preserve"> в абсолютном зачете</w:t>
            </w:r>
            <w:r>
              <w:rPr>
                <w:rStyle w:val="Style_4_ch"/>
                <w:sz w:val="24"/>
              </w:rPr>
              <w:t xml:space="preserve"> среди команд Ростовской области</w:t>
            </w:r>
            <w:r>
              <w:rPr>
                <w:rStyle w:val="Style_4_ch"/>
                <w:sz w:val="24"/>
              </w:rPr>
              <w:t>;</w:t>
            </w:r>
          </w:p>
          <w:p w14:paraId="74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 xml:space="preserve">- спортсмены района заняли </w:t>
            </w:r>
            <w:r>
              <w:rPr>
                <w:rStyle w:val="Style_4_ch"/>
                <w:sz w:val="24"/>
              </w:rPr>
              <w:t>I</w:t>
            </w:r>
            <w:r>
              <w:rPr>
                <w:rStyle w:val="Style_4_ch"/>
                <w:sz w:val="24"/>
              </w:rPr>
              <w:t xml:space="preserve"> место в общекомандном зачете по итогам </w:t>
            </w:r>
            <w:r>
              <w:rPr>
                <w:rStyle w:val="Style_4_ch"/>
                <w:sz w:val="24"/>
              </w:rPr>
              <w:t>XV</w:t>
            </w:r>
            <w:r>
              <w:rPr>
                <w:rStyle w:val="Style_4_ch"/>
                <w:sz w:val="24"/>
              </w:rPr>
              <w:t>III</w:t>
            </w:r>
            <w:r>
              <w:rPr>
                <w:rStyle w:val="Style_4_ch"/>
                <w:sz w:val="24"/>
              </w:rPr>
              <w:t xml:space="preserve"> Спортивных юношеских Игр Дона в </w:t>
            </w:r>
            <w:r>
              <w:rPr>
                <w:rStyle w:val="Style_4_ch"/>
                <w:sz w:val="24"/>
              </w:rPr>
              <w:t>III</w:t>
            </w:r>
            <w:r>
              <w:rPr>
                <w:rStyle w:val="Style_4_ch"/>
                <w:sz w:val="24"/>
              </w:rPr>
              <w:t xml:space="preserve"> группе муниципальных районов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4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76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2.4.3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77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условий для систематических занятий физкультурой и спортом отдельных категорий населения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7804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7904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7A04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7C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Модернизация объектов спортивной </w:t>
            </w:r>
            <w:r>
              <w:rPr>
                <w:sz w:val="24"/>
              </w:rPr>
              <w:t>инфраструктуры для беспрепятственного доступа инвалидами и другими маломобильными группами населения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7D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7E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физической культуре и спорту,</w:t>
            </w:r>
          </w:p>
          <w:p w14:paraId="7F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80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даптаци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 xml:space="preserve"> спортивных объектов</w:t>
            </w:r>
            <w:r>
              <w:rPr>
                <w:sz w:val="24"/>
              </w:rPr>
              <w:t xml:space="preserve"> для </w:t>
            </w:r>
            <w:r>
              <w:rPr>
                <w:sz w:val="24"/>
              </w:rPr>
              <w:t>беспрепятственного доступа инвалидами и другими маломобильными группами населения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82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Увеличение количества мероприятий с участием инвалидов и других маломобильных групп населения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83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84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85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87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Размещение, обновление информации и публикаций о проводимых физкультурных и спортивных мероприятиях для лиц с ограниченными возможностями здоровья на официальном сайте Администрации Белокалитвинского района, а также в региональных СМИ, социальных сетях и т.д.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88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89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физической культуре и спорту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8A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нформации о проводимых физкультурных и спортивных мероприятиях для лиц с ограниченными возможностями здоровья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азмещ</w:t>
            </w:r>
            <w:r>
              <w:rPr>
                <w:sz w:val="24"/>
              </w:rPr>
              <w:t>алась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Администрации Белокалитвинского района</w:t>
            </w:r>
          </w:p>
        </w:tc>
      </w:tr>
      <w:tr>
        <w:trPr>
          <w:trHeight w:hRule="atLeast" w:val="567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B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8C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2.5 ДОХОДЫ, ТРУД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И ЗАНЯТОСТЬ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8D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8E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8F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91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Задача 2.5.1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92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Обеспечение гарантии соблюдения прав работающих граждан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93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94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95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Охват организаций Белокалитвинского района </w:t>
            </w:r>
            <w:r>
              <w:rPr>
                <w:sz w:val="24"/>
              </w:rPr>
              <w:t>коллективно-договорным регулированием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9A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Работа с организациями района по присоединению к трехстороннему коллективному договору</w:t>
            </w: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Правовое просвещение в сфере охраны труда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9F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 </w:t>
            </w:r>
            <w:r>
              <w:rPr>
                <w:sz w:val="24"/>
              </w:rPr>
              <w:t>для п</w:t>
            </w:r>
            <w:r>
              <w:rPr>
                <w:sz w:val="24"/>
              </w:rPr>
              <w:t>овышени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 xml:space="preserve"> правовой грамотности населения в сфере охраны труда размещалась на официальном сайте Администрации Белокалитвинского района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A1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Задача 2.5.2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A2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Реализация права на труд и социальную защиту от безработицы, повышение гибкости рынка труда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A3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A4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A5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системы мониторинга и прогнозирования ситуации на рынке труда Белокалитвинского района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вопросам;</w:t>
            </w:r>
          </w:p>
          <w:p w14:paraId="AA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ГКУ РО «Центр занятости населения г.Белая Калитва»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AB040000">
            <w:pPr>
              <w:widowControl w:val="1"/>
              <w:spacing w:line="240" w:lineRule="auto"/>
              <w:ind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В 2025</w:t>
            </w:r>
            <w:r>
              <w:rPr>
                <w:sz w:val="24"/>
              </w:rPr>
              <w:t xml:space="preserve"> году трудоустроено </w:t>
            </w:r>
            <w:r>
              <w:rPr>
                <w:sz w:val="24"/>
              </w:rPr>
              <w:t>432</w:t>
            </w:r>
            <w:r>
              <w:rPr>
                <w:sz w:val="24"/>
              </w:rPr>
              <w:t xml:space="preserve"> ищущих работу граждан</w:t>
            </w:r>
            <w:r>
              <w:rPr>
                <w:sz w:val="24"/>
              </w:rPr>
              <w:t>ина</w:t>
            </w:r>
            <w:r>
              <w:rPr>
                <w:sz w:val="24"/>
              </w:rPr>
              <w:t xml:space="preserve">, что составляет </w:t>
            </w:r>
            <w:r>
              <w:rPr>
                <w:sz w:val="24"/>
              </w:rPr>
              <w:t>52,6</w:t>
            </w:r>
            <w:r>
              <w:rPr>
                <w:sz w:val="24"/>
              </w:rPr>
              <w:t xml:space="preserve"> % от общего количества обратившихся в поиске работы граждан.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 временные рабочие места трудоустроено 740 граждан в том числе:</w:t>
            </w:r>
          </w:p>
          <w:p w14:paraId="AC040000">
            <w:pPr>
              <w:widowControl w:val="1"/>
              <w:spacing w:line="240" w:lineRule="auto"/>
              <w:ind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725</w:t>
            </w:r>
            <w:r>
              <w:rPr>
                <w:sz w:val="24"/>
              </w:rPr>
              <w:t xml:space="preserve"> подростк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; 1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безработных граждан, испытывающих трудности в поиске работы;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 в</w:t>
            </w:r>
            <w:r>
              <w:rPr>
                <w:sz w:val="24"/>
              </w:rPr>
              <w:t>ыпускник</w:t>
            </w:r>
            <w:r>
              <w:rPr>
                <w:sz w:val="24"/>
              </w:rPr>
              <w:t xml:space="preserve">а </w:t>
            </w:r>
            <w:r>
              <w:rPr>
                <w:sz w:val="24"/>
              </w:rPr>
              <w:t>профессиональных образовательных организаций, в возрасте от 18 до 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лет, ищущих работу впервые.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Содействие в развитии малого предпринимательства, самозанятости населения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экономики, малого бизнеса, инвестиций и местного самоуправления;</w:t>
            </w:r>
          </w:p>
          <w:p w14:paraId="B1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ГКУ РО «Центр занятости </w:t>
            </w:r>
            <w:r>
              <w:rPr>
                <w:sz w:val="24"/>
              </w:rPr>
              <w:t>населения г.Белая Калитва»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top"/>
          </w:tcPr>
          <w:p w14:paraId="B2040000">
            <w:pPr>
              <w:widowControl w:val="1"/>
              <w:spacing w:line="240" w:lineRule="auto"/>
              <w:ind w:firstLine="708"/>
              <w:jc w:val="both"/>
              <w:rPr>
                <w:sz w:val="24"/>
              </w:rPr>
            </w:pPr>
            <w:r>
              <w:rPr>
                <w:sz w:val="24"/>
              </w:rPr>
              <w:t>В целях расширения возможностей и повышения конкурентноспособности на рынке трудана прохождение профобучения направлены 25 безработных граждан.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B4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2.5.5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B5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Содействие формированию условий труда, позволяющих сохранить трудоспособность работающего населения на всем протяжении профессиональной карьеры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B6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B7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B804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Улучшение условий и охраны труда, снижение риска смертности и травматизма на производстве, профзаболеваний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BD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Консультационная работа по у</w:t>
            </w:r>
            <w:r>
              <w:rPr>
                <w:sz w:val="24"/>
              </w:rPr>
              <w:t>лучшени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 xml:space="preserve"> условий и охраны труда, снижение риска смертности и травматизма на производстве, профзаболеваний. На территории района осуществляют деятельность 248 организаций, внедрившие мероприятия по улучшению условий охраны труда «Нулевой травматизм»</w:t>
            </w: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Мониторинг условий и охраны труда в организациях района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C2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со службами охраны труда организаций района. Количество рабочих мест, на которых завершена специальная оценка условий труда - 18760.</w:t>
            </w: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40000">
            <w:pPr>
              <w:keepNext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2.6 ЖИЛИЩНАЯ СФЕРА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40000">
            <w:pPr>
              <w:keepNext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40000">
            <w:pPr>
              <w:keepNext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C7040000">
            <w:pPr>
              <w:keepNext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C9040000">
            <w:pPr>
              <w:keepNext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2.6.1 (приоритетное направление): </w:t>
            </w:r>
          </w:p>
          <w:p w14:paraId="CA040000">
            <w:pPr>
              <w:keepNext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Модернизация жилищного фонда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CB040000">
            <w:pPr>
              <w:keepNext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CC040000">
            <w:pPr>
              <w:keepNext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CD040000">
            <w:pPr>
              <w:keepNext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и подача в Министерство строительства, архитектуры и территориального развития </w:t>
            </w:r>
            <w:r>
              <w:rPr>
                <w:sz w:val="24"/>
              </w:rPr>
              <w:t>Ростовской области заявок на предоставление финансовой поддержки на проведение мероприятий по переселению граждан из аварийного жилищного фонда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Служба реализации жилищных программ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D2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Работа по организационно-правовому обеспечению</w:t>
            </w:r>
            <w:r>
              <w:rPr>
                <w:sz w:val="24"/>
              </w:rPr>
              <w:t xml:space="preserve"> расселения </w:t>
            </w:r>
            <w:r>
              <w:rPr>
                <w:sz w:val="24"/>
              </w:rPr>
              <w:t>граждан из аварийного жилья</w:t>
            </w: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 текущих муниципальных программ, связанных с задачей переселения граждан из аварийного жилищного фонда на период до 2030 г.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Служба реализации жилищных программ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D7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реализация  муниципальной программы, которая способствует </w:t>
            </w:r>
            <w:r>
              <w:rPr>
                <w:sz w:val="24"/>
              </w:rPr>
              <w:t>расселени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 xml:space="preserve"> и ликвидации аварийного многоквартирного жилищного фонда, признанного таковым после 1 января 2012 г., подлежащего отселению до 2030 г.</w:t>
            </w: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мониторинга выполнения плана мероприятий по переселению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B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Служба реализации жилищных программ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C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  корректировка показателей и объемов финансирования мероприятий </w:t>
            </w: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инвентаризации аварийного жилищного фонда, а также оценка достоверности отнесения жилых помещений к категории аварийного жилищного фонда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связи,</w:t>
            </w:r>
          </w:p>
          <w:p w14:paraId="E1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Служба реализации жилищных программ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2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по корректировке наличия </w:t>
            </w:r>
            <w:r>
              <w:rPr>
                <w:sz w:val="24"/>
              </w:rPr>
              <w:t>аварийного жилищного фонда</w:t>
            </w: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3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4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2.6.2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E5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Рост качества городской среды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6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704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E8040000">
            <w:pPr>
              <w:keepNext w:val="1"/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муниципальной программы «Формирование </w:t>
            </w:r>
            <w:r>
              <w:rPr>
                <w:sz w:val="24"/>
              </w:rPr>
              <w:t>современной городской среды на территории Белокалитвинского района» на период 2018-2030 гг. с учетом достигнутых показателей предыдущего этапа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B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2018-2030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C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ED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реализация  муниципальной программы, которая способствует </w:t>
            </w: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 xml:space="preserve"> комфортности городской среды </w:t>
            </w: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реализации и корректировка плана мероприятий муниципальной программы «Формирование современной городской среды на территории Белокалитвинского района» на период 2018-2030 гг. с учетом достигнутых показателей предыдущего этапа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F2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  корректировка показателей и объемов финансирования мероприятий</w:t>
            </w: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Создание и развитие механизма прямого участия граждан в формировании комфортной городской среды (дискуссионные площадки, центры мониторинга и т.д.), увеличение доли граждан, принимающих участие в решении вопросов развития городской среды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F7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В 2025</w:t>
            </w:r>
            <w:r>
              <w:rPr>
                <w:sz w:val="24"/>
              </w:rPr>
              <w:t xml:space="preserve"> г. </w:t>
            </w:r>
            <w:r>
              <w:rPr>
                <w:sz w:val="24"/>
              </w:rPr>
              <w:t>созданы условия для повыше</w:t>
            </w:r>
            <w:r>
              <w:rPr>
                <w:sz w:val="24"/>
              </w:rPr>
              <w:t xml:space="preserve">ния заинтересованности граждан </w:t>
            </w:r>
            <w:r>
              <w:rPr>
                <w:sz w:val="24"/>
              </w:rPr>
              <w:t>в реализации мероприятий по благоустройству территорий Белокалитвинского района</w:t>
            </w:r>
            <w:r>
              <w:rPr>
                <w:sz w:val="24"/>
              </w:rPr>
              <w:t xml:space="preserve"> посредством деятельности в каждом поселении </w:t>
            </w:r>
            <w:r>
              <w:rPr>
                <w:sz w:val="24"/>
              </w:rPr>
              <w:t>Территориально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> </w:t>
            </w:r>
            <w:r>
              <w:rPr>
                <w:sz w:val="24"/>
              </w:rPr>
              <w:t>общественно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> 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овета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(ТОС)</w:t>
            </w:r>
            <w:r>
              <w:rPr>
                <w:sz w:val="24"/>
              </w:rPr>
              <w:t xml:space="preserve"> и путем организации конкурса на звание </w:t>
            </w:r>
            <w:r>
              <w:rPr>
                <w:sz w:val="24"/>
              </w:rPr>
              <w:t>«Лучшее территориальное общественное самоуправление в Ростовской области» на территории Белокалитвинского района</w:t>
            </w:r>
          </w:p>
        </w:tc>
      </w:tr>
      <w:tr>
        <w:trPr>
          <w:trHeight w:hRule="atLeast" w:val="552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4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Содействие обустройству мест массового отдыха населения </w:t>
            </w:r>
            <w:r>
              <w:rPr>
                <w:sz w:val="24"/>
              </w:rPr>
              <w:t>(городских парков)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4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Администрации городских поселений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FC04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2025</w:t>
            </w:r>
            <w:r>
              <w:rPr>
                <w:sz w:val="24"/>
              </w:rPr>
              <w:t xml:space="preserve"> г. р</w:t>
            </w:r>
            <w:r>
              <w:rPr>
                <w:sz w:val="24"/>
              </w:rPr>
              <w:t xml:space="preserve">еализованы мероприятия по формированию комфортной городской среды в </w:t>
            </w:r>
            <w:r>
              <w:rPr>
                <w:sz w:val="24"/>
              </w:rPr>
              <w:t xml:space="preserve">части благоустройства сквера «Молодежный» в городе Белая Калитва и общественной территории </w:t>
            </w:r>
            <w:r>
              <w:rPr>
                <w:rStyle w:val="Style_4_ch"/>
                <w:sz w:val="24"/>
              </w:rPr>
              <w:t>в х. Ильинка по ул. Центральная, 18 б,в,г.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>В посёлке Мельничный</w:t>
            </w:r>
            <w:r>
              <w:rPr>
                <w:rStyle w:val="Style_4_ch"/>
                <w:sz w:val="24"/>
              </w:rPr>
              <w:t xml:space="preserve"> выполнено благоустройство территории, прилегающей к пляжу.</w:t>
            </w:r>
          </w:p>
        </w:tc>
      </w:tr>
      <w:tr>
        <w:trPr>
          <w:trHeight w:hRule="atLeast" w:val="567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FE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2.7 ДЕМОГРАФИЯ И МИГРАЦИЯ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FF04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00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1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3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2.7.1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04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Создание условий для осуществления трудовой деятельности женщин, имеющих детей</w:t>
            </w:r>
          </w:p>
          <w:p w14:paraId="05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6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7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8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доступности дошкольного образования для детей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C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Сектор по социальным вопросам, </w:t>
            </w:r>
          </w:p>
          <w:p w14:paraId="0D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0E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Показатель удовлетворенности населения в услугах дошкольного образования для детей в возрасте от 3 до 7 в 20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 году составил 100%.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F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профессионального обучения и дополнительного профессионального образования женщин, находящихся в отпуске по уходу за ребенком до достижения им возраста трех лет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2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вопросам, ГКУ РО «Центра занятости населения г.Белая Калитва»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13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2025</w:t>
            </w:r>
            <w:r>
              <w:rPr>
                <w:sz w:val="24"/>
              </w:rPr>
              <w:t xml:space="preserve"> года трудоустроен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z w:val="24"/>
              </w:rPr>
              <w:t xml:space="preserve"> женщин, имеющ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 xml:space="preserve"> несовершеннолетних детей, направлены на профессиональное обучение 4</w:t>
            </w:r>
            <w:r>
              <w:rPr>
                <w:sz w:val="24"/>
              </w:rPr>
              <w:t xml:space="preserve"> женщины, воспитывающие несовершеннолетних детей</w:t>
            </w:r>
            <w:r>
              <w:rPr>
                <w:sz w:val="24"/>
              </w:rPr>
              <w:t>. Получили услуги по профессиональной ориентации 28 женщин данной категории. Оказано услуг по социальной адаптации 2 женщины, имеющие несовершеннолетних детей.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15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2.7.2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16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Пропаганда семейных ценностей, ответственного </w:t>
            </w:r>
            <w:r>
              <w:rPr>
                <w:b w:val="1"/>
                <w:sz w:val="24"/>
              </w:rPr>
              <w:t>родительства</w:t>
            </w:r>
            <w:r>
              <w:rPr>
                <w:b w:val="1"/>
                <w:sz w:val="24"/>
              </w:rPr>
              <w:t xml:space="preserve"> и многодетности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17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18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19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праздничных мероприятий, направленных на пропаганду и повышение общественного престижа семейного образа жизни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культуры, сектор по социальным вопросам, отдел ЗАГС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1E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8 июля и 28 ноября 2025 года в ДК им.Чкалова состоялось чествование многодетных семей. Чествование семейных пар с продолжительностью супружеской жизни более 50 лет. </w:t>
            </w:r>
          </w:p>
        </w:tc>
      </w:tr>
      <w:tr>
        <w:trPr>
          <w:trHeight w:hRule="atLeast" w:val="567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2.8 МОЛОДЕЖНАЯ ПОЛИТИКА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23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25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2.8.1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26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Рост вовлеченности молодежи в социально-экономическую практику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27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28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29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2B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системного взаимодействия органов местного самоуправления с молодежными общественными объединениями (обратной связи) в процессе формирования и реализации государственной молодежной политики, а также выработки и реализации управленческих решений, затрагивающих интересы молодежи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делам молодежи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2E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z w:val="24"/>
              </w:rPr>
              <w:t xml:space="preserve"> Центр развития добровольчества (волонтерства) в Белокалитвинском районе</w:t>
            </w:r>
            <w:r>
              <w:rPr>
                <w:sz w:val="24"/>
              </w:rPr>
              <w:t xml:space="preserve">. </w:t>
            </w:r>
          </w:p>
          <w:p w14:paraId="2F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z w:val="24"/>
              </w:rPr>
              <w:t>елокалитвинская молоде</w:t>
            </w:r>
            <w:r>
              <w:rPr>
                <w:sz w:val="24"/>
              </w:rPr>
              <w:t xml:space="preserve">жь </w:t>
            </w:r>
            <w:r>
              <w:rPr>
                <w:sz w:val="24"/>
              </w:rPr>
              <w:t xml:space="preserve">приняла участие в </w:t>
            </w:r>
            <w:r>
              <w:rPr>
                <w:sz w:val="24"/>
              </w:rPr>
              <w:t xml:space="preserve">областных образовательных молодежных форумах </w:t>
            </w:r>
            <w:r>
              <w:rPr>
                <w:sz w:val="24"/>
              </w:rPr>
              <w:t>«Молодая волна» и «Ростов» с федеральной площадкой «Молодые аграрии».</w:t>
            </w:r>
            <w:r>
              <w:rPr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 xml:space="preserve">В декабре </w:t>
            </w:r>
            <w:r>
              <w:rPr>
                <w:rStyle w:val="Style_4_ch"/>
                <w:sz w:val="24"/>
              </w:rPr>
              <w:t>проведен</w:t>
            </w:r>
            <w:r>
              <w:rPr>
                <w:rStyle w:val="Style_4_ch"/>
                <w:sz w:val="24"/>
              </w:rPr>
              <w:t xml:space="preserve"> муниципальный образовательный молодежный форума «Академия Успеха» с участием молодежи из городских и сельских поселений района.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Популяризация рабочих специальностей, в </w:t>
            </w:r>
            <w:r>
              <w:rPr>
                <w:sz w:val="24"/>
              </w:rPr>
              <w:t>т.ч</w:t>
            </w:r>
            <w:r>
              <w:rPr>
                <w:sz w:val="24"/>
              </w:rPr>
              <w:t>. путем содействия участию молодежи в конкурсах, олимпиадах профессионального мастерства обучающихся по специальностям среднего профессионального образования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делам молодежи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34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молодежи, активно вовлеченной в экономическую практику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36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Систематическое информирование общества о вовлеченности молодежи в социальную практику, в </w:t>
            </w:r>
            <w:r>
              <w:rPr>
                <w:sz w:val="24"/>
              </w:rPr>
              <w:t>т.ч</w:t>
            </w:r>
            <w:r>
              <w:rPr>
                <w:sz w:val="24"/>
              </w:rPr>
              <w:t xml:space="preserve">. при помощи </w:t>
            </w:r>
            <w:r>
              <w:rPr>
                <w:sz w:val="24"/>
              </w:rPr>
              <w:t>интернет-ресурсов</w:t>
            </w:r>
            <w:r>
              <w:rPr>
                <w:sz w:val="24"/>
              </w:rPr>
              <w:t xml:space="preserve"> и печатных изданий, а также работа с региональными СМИ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делам молодежи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39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нформирование общества о </w:t>
            </w:r>
            <w:r>
              <w:rPr>
                <w:sz w:val="24"/>
              </w:rPr>
              <w:t xml:space="preserve">проводимых мероприятиях для </w:t>
            </w:r>
            <w:r>
              <w:rPr>
                <w:sz w:val="24"/>
              </w:rPr>
              <w:t>вовлечен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 xml:space="preserve"> молодежи в социальную практику</w:t>
            </w:r>
            <w:r>
              <w:rPr>
                <w:sz w:val="24"/>
              </w:rPr>
              <w:t xml:space="preserve"> на официальном сайте Администрации района. 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A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3B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2.8.2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3C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Рост вовлеченности в систему гражданско-патриотического и духовно-нравственного воспитания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3D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3E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3F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41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Создание и поддержка деятельности молодежных общественных организаций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2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делам молодежи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4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>Центр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 развития добровольчества (волонтерства) в Белокалитвинском районе.  </w:t>
            </w:r>
            <w:r>
              <w:rPr>
                <w:rStyle w:val="Style_4_ch"/>
                <w:sz w:val="24"/>
              </w:rPr>
              <w:t>Молодежная Администрация Белокалитвинского района по итогам 2025 года стала лучшей в Ростовской области и лидером по работе с проектами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46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Содействие включению молодежи в программы патриотического воспитания, подготовки к службе в Вооруженных Силах, проведение работы по увековечению памяти защитников Отечества, расширение сотрудничества с организациями и по вопросам усовершенствования воспитательной работы среди молодежи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делам молодежи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49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>Были проведены мероприятия в рамках  месячника оборонно-массовой работы, конкурс патриотических литературно-музыкальных композиций «Не гаснет памяти огонь», муниципальный и зональный этапы Спартакиада допризывной молодежи, а также множество патриотический акций, в том числе «Блокадный хлеб», «Бессмертный полк», «Георгиевская ленточка», «Окна Победы», «Память поколений», «Лента триколор», «Мой флаг» и другие.</w:t>
            </w:r>
          </w:p>
          <w:p w14:paraId="4A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 xml:space="preserve"> Р</w:t>
            </w:r>
            <w:r>
              <w:rPr>
                <w:rStyle w:val="Style_4_ch"/>
                <w:sz w:val="24"/>
              </w:rPr>
              <w:t>еализован комплекс мероприятий, направленных на патриотическое воспитание молодежи</w:t>
            </w:r>
            <w:r>
              <w:rPr>
                <w:rStyle w:val="Style_4_ch"/>
                <w:sz w:val="24"/>
              </w:rPr>
              <w:t>.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 xml:space="preserve">Команда района </w:t>
            </w:r>
            <w:r>
              <w:rPr>
                <w:rStyle w:val="Style_4_ch"/>
                <w:sz w:val="24"/>
              </w:rPr>
              <w:t>приняла участие в региональной военно-спортивной игре «Орленок», «Зарница 2.0».</w:t>
            </w:r>
            <w:r>
              <w:rPr>
                <w:rStyle w:val="Style_4_ch"/>
                <w:sz w:val="24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4C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Содействие деятельности поисковых отрядов, археологических и военно-исторических клубов, объединений краеведческой направленности, патриотических молодёжных проектов и программ, патриотических клубов, объединений казачьей молодёжи и иных молодёжных объединений патриотической направленности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делам молодежи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4F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>Оказывается</w:t>
            </w:r>
            <w:r>
              <w:rPr>
                <w:rStyle w:val="Style_4_ch"/>
                <w:sz w:val="24"/>
              </w:rPr>
              <w:t xml:space="preserve"> содействие молодёжным объединениям</w:t>
            </w:r>
            <w:r>
              <w:rPr>
                <w:rStyle w:val="Style_4_ch"/>
                <w:sz w:val="24"/>
              </w:rPr>
              <w:t xml:space="preserve"> патриотической направленности. 3 сентября прошла 10-ая военно-патриотическая игра «Русичи-2025» на кубок Белокалитвинского Союза десантников.</w:t>
            </w:r>
          </w:p>
          <w:p w14:paraId="50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52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Систематическая просветительская </w:t>
            </w:r>
            <w:r>
              <w:rPr>
                <w:sz w:val="24"/>
              </w:rPr>
              <w:t xml:space="preserve">работа по профилактике потребления наркотиков, алкоголя, психотропных средств, </w:t>
            </w:r>
            <w:r>
              <w:rPr>
                <w:sz w:val="24"/>
              </w:rPr>
              <w:t>табакокурения</w:t>
            </w:r>
            <w:r>
              <w:rPr>
                <w:sz w:val="24"/>
              </w:rPr>
              <w:t xml:space="preserve">, в </w:t>
            </w:r>
            <w:r>
              <w:rPr>
                <w:sz w:val="24"/>
              </w:rPr>
              <w:t>т.ч</w:t>
            </w:r>
            <w:r>
              <w:rPr>
                <w:sz w:val="24"/>
              </w:rPr>
              <w:t>. информирование об административной и уголовной ответственности, предусмотренных законодательством РФ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делам молодежи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55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Изготовлены и распространены, при проведении </w:t>
            </w:r>
            <w:r>
              <w:rPr>
                <w:sz w:val="24"/>
              </w:rPr>
              <w:t>массовых физкультурно-спортивных мероприятий, листовки, блокноты, флаеры, баннеры антинаркотической направленности.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>Проведен молодежный Фестиваль «</w:t>
            </w:r>
            <w:r>
              <w:rPr>
                <w:rStyle w:val="Style_4_ch"/>
                <w:sz w:val="24"/>
              </w:rPr>
              <w:t>СапФест</w:t>
            </w:r>
            <w:r>
              <w:rPr>
                <w:rStyle w:val="Style_4_ch"/>
                <w:sz w:val="24"/>
              </w:rPr>
              <w:t>», посвящённый Дню молодёжи, Международному дню борьбы с наркоманией и Всероссийскому олимпийскому Дню.</w:t>
            </w:r>
            <w:r>
              <w:rPr>
                <w:rStyle w:val="Style_4_ch"/>
                <w:sz w:val="24"/>
              </w:rPr>
              <w:t xml:space="preserve"> Проведен муниципальный этап акции «Ростовская область – территория здоровья!». Организовано 415 классных часа, в 37 школах размещена информация антинаркотической направленности. Все школы района приняли участие в акции «Сообщи, где торгуют смертью». Во всех школах проведены семинары на тему профилактики употребления алкоголя и наркотических препаратов, о вреде табакокурения.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57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Пропаганда традиционных семейных ценностей, формирование позитивного отношения в молодежной среде к семье и браку, формирование образа молодой семьи, ориентированного на рождение и воспитание детей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делам молодежи, отдел образования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5A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Проведены уроки, посвященные п</w:t>
            </w:r>
            <w:r>
              <w:rPr>
                <w:sz w:val="24"/>
              </w:rPr>
              <w:t>ропаганд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 традиционных семейных ценностей. Чествование многодетных семей.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5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5C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2.8.3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5D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Рост вовлеченности молодежи в добровольческую деятельность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5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5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6005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Создание и поддержка деятельности молодежных добровольческих организаций, рост числа организаторов и участников волонтерской деятельности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делам молодежи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65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Работает </w:t>
            </w:r>
            <w:r>
              <w:rPr>
                <w:sz w:val="24"/>
              </w:rPr>
              <w:t xml:space="preserve">Центр развития добровольчества (волонтерства) в Белокалитвинском районе. </w:t>
            </w:r>
            <w:r>
              <w:rPr>
                <w:sz w:val="24"/>
              </w:rPr>
              <w:t xml:space="preserve">Повышению численности граждан, вовлеченных в добровольческую (волонтерскую) деятельность способствовало активное участие </w:t>
            </w:r>
            <w:r>
              <w:rPr>
                <w:sz w:val="24"/>
              </w:rPr>
              <w:t xml:space="preserve">белокалитвинских добровольцев во всероссийских акциях «#МыВместе», «Комфортная городская </w:t>
            </w:r>
            <w:r>
              <w:rPr>
                <w:sz w:val="24"/>
              </w:rPr>
              <w:t>среда».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 волонтеров</w:t>
            </w:r>
            <w:r>
              <w:rPr>
                <w:sz w:val="24"/>
              </w:rPr>
              <w:t>, зарегистриро</w:t>
            </w:r>
            <w:r>
              <w:rPr>
                <w:sz w:val="24"/>
              </w:rPr>
              <w:t>ван</w:t>
            </w:r>
            <w:r>
              <w:rPr>
                <w:sz w:val="24"/>
              </w:rPr>
              <w:t>ных в единой информа</w:t>
            </w:r>
            <w:r>
              <w:rPr>
                <w:sz w:val="24"/>
              </w:rPr>
              <w:t>ционной системе в сфере развития добровольчества (волонтерства) «</w:t>
            </w:r>
            <w:r>
              <w:rPr>
                <w:sz w:val="24"/>
              </w:rPr>
              <w:t>DOBRO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RU</w:t>
            </w:r>
            <w:r>
              <w:rPr>
                <w:sz w:val="24"/>
              </w:rPr>
              <w:t xml:space="preserve">» 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14850</w:t>
            </w:r>
            <w:r>
              <w:rPr>
                <w:sz w:val="24"/>
              </w:rPr>
              <w:t xml:space="preserve">. </w:t>
            </w:r>
            <w:r>
              <w:rPr>
                <w:rStyle w:val="Style_4_ch"/>
                <w:sz w:val="24"/>
              </w:rPr>
              <w:t xml:space="preserve">Представили </w:t>
            </w:r>
            <w:r>
              <w:rPr>
                <w:rStyle w:val="Style_4_ch"/>
                <w:sz w:val="24"/>
              </w:rPr>
              <w:t>белокалитвинских</w:t>
            </w:r>
            <w:r>
              <w:rPr>
                <w:rStyle w:val="Style_4_ch"/>
                <w:sz w:val="24"/>
              </w:rPr>
              <w:t xml:space="preserve"> волонтеров приняли участ</w:t>
            </w:r>
            <w:r>
              <w:rPr>
                <w:rStyle w:val="Style_4_ch"/>
                <w:sz w:val="24"/>
              </w:rPr>
              <w:t xml:space="preserve">ие итоговом слете </w:t>
            </w:r>
            <w:r>
              <w:rPr>
                <w:rStyle w:val="Style_4_ch"/>
                <w:sz w:val="24"/>
              </w:rPr>
              <w:t>эковолонтеров</w:t>
            </w:r>
            <w:r>
              <w:rPr>
                <w:rStyle w:val="Style_4_ch"/>
                <w:sz w:val="24"/>
              </w:rPr>
              <w:t>, в областном фестивале инклюзивного добровольчеств</w:t>
            </w:r>
            <w:r>
              <w:rPr>
                <w:rStyle w:val="Style_4_ch"/>
                <w:sz w:val="24"/>
              </w:rPr>
              <w:t>а, в региональном «</w:t>
            </w:r>
            <w:r>
              <w:rPr>
                <w:rStyle w:val="Style_4_ch"/>
                <w:sz w:val="24"/>
              </w:rPr>
              <w:t>Доброфест</w:t>
            </w:r>
            <w:r>
              <w:rPr>
                <w:rStyle w:val="Style_4_ch"/>
                <w:sz w:val="24"/>
              </w:rPr>
              <w:t>»</w:t>
            </w:r>
            <w:r>
              <w:rPr>
                <w:rStyle w:val="Style_4_ch"/>
                <w:sz w:val="24"/>
              </w:rPr>
              <w:t>.</w:t>
            </w:r>
          </w:p>
        </w:tc>
      </w:tr>
      <w:tr>
        <w:trPr>
          <w:trHeight w:hRule="atLeast" w:val="567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50000">
            <w:pPr>
              <w:keepLines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67050000">
            <w:pPr>
              <w:keepLines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2.9 </w:t>
            </w:r>
            <w:r>
              <w:rPr>
                <w:b w:val="1"/>
                <w:sz w:val="24"/>
              </w:rPr>
              <w:t xml:space="preserve">СОЦИАЛЬНОЕ ОБСЛУЖИВАНИЕ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И ЗАЩИТА НАСЕЛЕНИЯ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68050000">
            <w:pPr>
              <w:keepLines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69050000">
            <w:pPr>
              <w:keepLines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6A050000">
            <w:pPr>
              <w:keepLines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6C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Реализация муниципальной программы «Социальная поддержка граждан» на период 2019-2030 гг. с учетом достигнутых показателей предыдущего этапа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6D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6E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Управление социальной защиты населения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6F05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реализация  муниципальной программы, которая способствует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овышени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 xml:space="preserve"> уровня социальной защищённости населения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71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реализации и корректировка плана мероприятий муниципальной программы на период 2019-2030 гг. с учетом достигнутых показателей предыдущего этапа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72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73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Управление социальной защиты населения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74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  корректировка показателей и объемов финансирования мероприятий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76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2.9.1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77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Стимулирование к самостоятельному выходу из сложных жизненных ситуаций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78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79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7A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Предоставление мер социальной поддержки на основе принципа </w:t>
            </w:r>
            <w:r>
              <w:rPr>
                <w:sz w:val="24"/>
              </w:rPr>
              <w:t>адресности, с учетом имущественного положения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Управление социальной защиты населения</w:t>
            </w:r>
          </w:p>
          <w:p w14:paraId="7F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80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Оказание </w:t>
            </w:r>
            <w:r>
              <w:rPr>
                <w:sz w:val="24"/>
              </w:rPr>
              <w:t xml:space="preserve">финансовой </w:t>
            </w:r>
            <w:r>
              <w:rPr>
                <w:sz w:val="24"/>
              </w:rPr>
              <w:t xml:space="preserve">адресной социальной помощи и поддержки лицам, оказавшимся в </w:t>
            </w:r>
            <w:r>
              <w:rPr>
                <w:sz w:val="24"/>
              </w:rPr>
              <w:t>сложной жизненной ситуации. 1492 малоимущим семьям на 3187 детей выплачены пособия.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внимания общественности к проблеме граждан, попавших в трудную жизненную ситуацию, посредством размещения информации в региональных СМИ и на объектах наружной рекламы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Сектор по социальным вопросам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85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населения о возможности получения адресной социальной помощи и поддержки лицам, оказавшимся в сложной жизненной ситуации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87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2.9.2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88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Организация работы по повышению качества и доступности социальных услуг в соответствии с государственными стандартами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89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8A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8B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проведения мониторинга социально-экономического положения пожилых людей и инвалидов, в том числе детей-инвалидов, проживающих на территории Белокалитвинского района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E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F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Управление социальной защиты населения</w:t>
            </w:r>
          </w:p>
          <w:p w14:paraId="90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91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рамках осуществления деятельности за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 подразделениями МБУ ЦСО Белокалитвинского района (социально - реабилитационные отделения, отделения социального обслуживания на дому и специализированные отделения социально-медицинского обслуживания на дому) было обслужено 2869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увеличению доли граждан, охваченных </w:t>
            </w:r>
            <w:r>
              <w:rPr>
                <w:sz w:val="24"/>
              </w:rPr>
              <w:t>различными формами социального обслуживания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Управление социальной защиты населения </w:t>
            </w:r>
          </w:p>
          <w:p w14:paraId="96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97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>С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 xml:space="preserve">целью организации доступа к социальным услугам по месту проживания нуждающимся в них </w:t>
            </w:r>
            <w:r>
              <w:rPr>
                <w:rStyle w:val="Style_4_ch"/>
                <w:sz w:val="24"/>
              </w:rPr>
              <w:t xml:space="preserve">гражданам пожилого возраста и инвалидам, проживающим в отдаленных от администраций городских и сельских поселений населенных пунктах со слаборазвитой социально-бытовой и транспортной инфраструктурой, на базе МБУ ЦСО Белокалитвинского района </w:t>
            </w:r>
            <w:r>
              <w:rPr>
                <w:rStyle w:val="Style_4_ch"/>
                <w:sz w:val="24"/>
              </w:rPr>
              <w:t>работает</w:t>
            </w:r>
            <w:r>
              <w:rPr>
                <w:rStyle w:val="Style_4_ch"/>
                <w:sz w:val="24"/>
              </w:rPr>
              <w:t xml:space="preserve"> мобильная выездная бригада, осуществляющая свою деятельность в тесном взаимодействии с Белокалитвинским городским и районным отделением Общероссийской общественной организации «Российский Красный Крест», Белокалитвинским районным Советом Всероссийской организации ветеранов войны, труда, Вооруженных Сил и правоохранительных органов, Обществом инвалидов, администрациями городских и сельских поселений района. </w:t>
            </w:r>
            <w:r>
              <w:rPr>
                <w:rStyle w:val="Style_4_ch"/>
                <w:sz w:val="24"/>
              </w:rPr>
              <w:t>В 2025</w:t>
            </w:r>
            <w:r>
              <w:rPr>
                <w:rStyle w:val="Style_4_ch"/>
                <w:sz w:val="24"/>
              </w:rPr>
              <w:t xml:space="preserve"> году услуга оказана </w:t>
            </w:r>
            <w:r>
              <w:rPr>
                <w:rStyle w:val="Style_4_ch"/>
                <w:sz w:val="24"/>
              </w:rPr>
              <w:t>275</w:t>
            </w:r>
            <w:r>
              <w:rPr>
                <w:rStyle w:val="Style_4_ch"/>
                <w:sz w:val="24"/>
              </w:rPr>
              <w:t xml:space="preserve"> граждан</w:t>
            </w:r>
            <w:r>
              <w:rPr>
                <w:rStyle w:val="Style_4_ch"/>
                <w:sz w:val="24"/>
              </w:rPr>
              <w:t>ам</w:t>
            </w:r>
            <w:r>
              <w:rPr>
                <w:rStyle w:val="Style_4_ch"/>
                <w:sz w:val="24"/>
              </w:rPr>
              <w:t xml:space="preserve">. </w:t>
            </w:r>
            <w:r>
              <w:rPr>
                <w:rStyle w:val="Style_4_ch"/>
                <w:sz w:val="24"/>
              </w:rPr>
              <w:t>В Центре социального обслуживания работает «Пункт проката технических средств реабилитации»</w:t>
            </w:r>
            <w:r>
              <w:rPr>
                <w:rStyle w:val="Style_4_ch"/>
                <w:sz w:val="24"/>
              </w:rPr>
              <w:t xml:space="preserve">, услугами которого воспользовались </w:t>
            </w:r>
            <w:r>
              <w:rPr>
                <w:rStyle w:val="Style_4_ch"/>
                <w:sz w:val="24"/>
              </w:rPr>
              <w:t>115 человек</w:t>
            </w:r>
            <w:r>
              <w:rPr>
                <w:rStyle w:val="Style_4_ch"/>
                <w:sz w:val="24"/>
              </w:rPr>
              <w:t xml:space="preserve">. </w:t>
            </w:r>
            <w:r>
              <w:rPr>
                <w:rStyle w:val="Style_4_ch"/>
                <w:sz w:val="24"/>
              </w:rPr>
              <w:t xml:space="preserve">Отделение дневного пребывания посетили </w:t>
            </w:r>
            <w:r>
              <w:rPr>
                <w:rStyle w:val="Style_4_ch"/>
                <w:sz w:val="24"/>
              </w:rPr>
              <w:t>145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>пожилых граждан и инвалидов.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>Услуга</w:t>
            </w:r>
            <w:r>
              <w:rPr>
                <w:rStyle w:val="Style_4_ch"/>
                <w:sz w:val="24"/>
              </w:rPr>
              <w:t xml:space="preserve"> «Социальный маршрут» </w:t>
            </w:r>
            <w:r>
              <w:rPr>
                <w:rStyle w:val="Style_4_ch"/>
                <w:sz w:val="24"/>
              </w:rPr>
              <w:t>был</w:t>
            </w:r>
            <w:r>
              <w:rPr>
                <w:rStyle w:val="Style_4_ch"/>
                <w:sz w:val="24"/>
              </w:rPr>
              <w:t>а</w:t>
            </w:r>
            <w:r>
              <w:rPr>
                <w:rStyle w:val="Style_4_ch"/>
                <w:sz w:val="24"/>
              </w:rPr>
              <w:t xml:space="preserve"> предоставлен</w:t>
            </w:r>
            <w:r>
              <w:rPr>
                <w:rStyle w:val="Style_4_ch"/>
                <w:sz w:val="24"/>
              </w:rPr>
              <w:t>а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 xml:space="preserve">для </w:t>
            </w:r>
            <w:r>
              <w:rPr>
                <w:rStyle w:val="Style_4_ch"/>
                <w:sz w:val="24"/>
              </w:rPr>
              <w:t>286</w:t>
            </w:r>
            <w:r>
              <w:rPr>
                <w:rStyle w:val="Style_4_ch"/>
                <w:sz w:val="24"/>
              </w:rPr>
              <w:t xml:space="preserve"> маломобильных граждан</w:t>
            </w:r>
            <w:r>
              <w:rPr>
                <w:rStyle w:val="Style_4_ch"/>
                <w:sz w:val="24"/>
              </w:rPr>
              <w:t xml:space="preserve"> Белокалитвинского района</w:t>
            </w:r>
            <w:r>
              <w:rPr>
                <w:rStyle w:val="Style_4_ch"/>
                <w:sz w:val="24"/>
              </w:rPr>
              <w:t>.</w:t>
            </w:r>
            <w:r>
              <w:rPr>
                <w:rStyle w:val="Style_4_ch"/>
                <w:sz w:val="24"/>
              </w:rPr>
              <w:t xml:space="preserve"> </w:t>
            </w:r>
          </w:p>
        </w:tc>
      </w:tr>
      <w:tr>
        <w:trPr>
          <w:trHeight w:hRule="atLeast" w:val="567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50000">
            <w:pPr>
              <w:widowControl w:val="1"/>
              <w:spacing w:line="276" w:lineRule="auto"/>
              <w:ind/>
              <w:contextualSpacing w:val="1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99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2.10 </w:t>
            </w:r>
            <w:r>
              <w:rPr>
                <w:b w:val="1"/>
                <w:sz w:val="24"/>
              </w:rPr>
              <w:t>КАЗАЧЕСТВО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9A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9B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9C05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9E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Реализация муниципальной программы «</w:t>
            </w:r>
            <w:r>
              <w:rPr>
                <w:sz w:val="24"/>
              </w:rPr>
              <w:t xml:space="preserve">Поддержка </w:t>
            </w:r>
            <w:r>
              <w:rPr>
                <w:sz w:val="24"/>
              </w:rPr>
              <w:t>казачьих обществ Белокалитвинского района» на период 2019-2030 гг. с учетом достигнутых показателей предыдущего этапа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9F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A0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A1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реализация  муниципальной программы, которая способствует </w:t>
            </w:r>
            <w:r>
              <w:rPr>
                <w:sz w:val="24"/>
              </w:rPr>
              <w:t>привлечению</w:t>
            </w:r>
            <w:r>
              <w:rPr>
                <w:sz w:val="24"/>
              </w:rPr>
              <w:t xml:space="preserve"> членов казачьих обществ к несению государственной и иной службы, сохранение и развитие казачьей культуры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A3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Мониторинг реализации и </w:t>
            </w:r>
            <w:r>
              <w:rPr>
                <w:sz w:val="24"/>
              </w:rPr>
              <w:t>корректировка плана мероприятий муниципальной программы на период 2019-2030 гг. с учетом достигнутых показателей предыдущего этапа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A4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A5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Сектор по взаимодействию </w:t>
            </w:r>
            <w:r>
              <w:rPr>
                <w:sz w:val="24"/>
              </w:rPr>
              <w:t>с административными органами, казачеством и общественными объединениями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A6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  </w:t>
            </w:r>
            <w:r>
              <w:rPr>
                <w:sz w:val="24"/>
              </w:rPr>
              <w:t>корректировка показателей и объемов финансирования мероприятий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50000">
            <w:pPr>
              <w:widowControl w:val="1"/>
              <w:spacing w:line="276" w:lineRule="auto"/>
              <w:ind/>
              <w:contextualSpacing w:val="1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</w:t>
            </w: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A8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2.10.1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A9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сети образовательных учреждений со статусом «казачье»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AA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AB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AC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AE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Развитие системы казачьего образования на основе непрерывности и преемственности: казачий детский сад – школа со статусом «казачье» – казачий кадетский корпус – казачий кадетский профессиональный техникум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AF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B0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образования, 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B1050000">
            <w:pPr>
              <w:widowControl w:val="1"/>
              <w:spacing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4"/>
              </w:rPr>
              <w:t xml:space="preserve">Дошкольные и образовательные организации со статусом «казачье» – активные участники конкурсов. </w:t>
            </w:r>
            <w:r>
              <w:rPr>
                <w:rStyle w:val="Style_4_ch"/>
                <w:sz w:val="24"/>
              </w:rPr>
              <w:t>В 2025 году организованы и проведены районный конкурс «Лучшая казачья школа Белокалитвинского района», районный смотр-конкурс «Юртовой парад образовательных учреждений Белокалитвинского района со статусом «казачье», организована перевозка детей, обучающихся в образовательных учреждениях, имеющих статус «казачье», на экскурсии, спортивные и иные мероприятия.</w:t>
            </w:r>
          </w:p>
          <w:p w14:paraId="B2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роведены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онкурс</w:t>
            </w:r>
            <w:r>
              <w:rPr>
                <w:sz w:val="24"/>
              </w:rPr>
              <w:t>ы:</w:t>
            </w:r>
            <w:r>
              <w:rPr>
                <w:sz w:val="24"/>
              </w:rPr>
              <w:t xml:space="preserve"> «Юная казачка» и «Юный Атаман»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казачьих династи</w:t>
            </w:r>
            <w:r>
              <w:rPr>
                <w:sz w:val="24"/>
              </w:rPr>
              <w:t>й «Казачьему роду нет переводу», «Хвала тебе казачка»</w:t>
            </w:r>
            <w:r>
              <w:rPr>
                <w:color w:val="00000A"/>
                <w:sz w:val="28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B4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Расширение реализации образовательных программ, направленных на гражданско-патриотическое и духовно-нравственное воспитание, сохранение традиционной культуры казачества (фольклора, этнографии, истории)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B5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B6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образования, 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B7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роведены:</w:t>
            </w:r>
          </w:p>
          <w:p w14:paraId="B8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семинар казачьих образовательных учреждений «Опыт организации и проведения казачьих мероприятий»;</w:t>
            </w:r>
          </w:p>
          <w:p w14:paraId="B9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смотр-конкурс строя и песни образовательных учреждений со статусом «казачье»;</w:t>
            </w:r>
          </w:p>
          <w:p w14:paraId="BA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прием в казачата.</w:t>
            </w:r>
          </w:p>
          <w:p w14:paraId="BB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50000">
            <w:pPr>
              <w:widowControl w:val="1"/>
              <w:spacing w:line="276" w:lineRule="auto"/>
              <w:ind/>
              <w:contextualSpacing w:val="1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BD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2.10.2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BE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Создание казачьих дружин через реализацию инициатив местных сообществ (казаков)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BF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C0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C105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C3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казачества к выполнению задач по обеспечению безопасности и охране общественного порядка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C4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C5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C6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 xml:space="preserve">ежду Администрацией района и Войсковым казачьим обществом «Всевеликое войско Донское» заключен договор, согласно которому члены казачьей дружины Белокалитвинского района принимают участие в профилактике терроризма и экстремизма, в предупреждении и ликвидации последствий чрезвычайных   ситуаций на территории Белокалитвинского района, в организации и осуществлении мероприятий по защите населения и территории Белокалитвинского района от чрезвычайных ситуаций природного и техногенного характера, в профилактике правонарушений и деятельности по </w:t>
            </w:r>
            <w:r>
              <w:rPr>
                <w:sz w:val="24"/>
              </w:rPr>
              <w:t xml:space="preserve">устранению причин и условий, способствующих совершению правонарушений. 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C8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казачества к обеспечению экологической и пожарной безопасности, к реализации мероприятий по предупреждению и ликвидации чрезвычайных ситуаций и ликвидации последствий стихийных бедствий, гражданской обороне, природоохранной деятельности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C9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CA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Сектор по взаимодействию с административными органами, казачеством и общественными объединениями 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CB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Между Администрацией района и  Войсковым казачьим обществом «Всевеликое войско Донское» заключен договор, согласно которо</w:t>
            </w:r>
            <w:r>
              <w:rPr>
                <w:sz w:val="24"/>
              </w:rPr>
              <w:t>му</w:t>
            </w:r>
            <w:r>
              <w:rPr>
                <w:sz w:val="24"/>
              </w:rPr>
              <w:t xml:space="preserve"> члены казачьей дружины Белокалитвинского района принимают участие в профилактике терроризма и экстремизма, в предупреждении и ликвидации последствий чрезвычайных   ситуаций на территории Белокалитвинского района, в организации и осуществлении мероприятий по защите населения и территории Белокалитвинского района от чрезвычайных ситуаций природного и техногенного характера, в профилактике правонарушений и деятельности по устранению причин и условий, способствующих совершению правонарушений.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50000">
            <w:pPr>
              <w:widowControl w:val="1"/>
              <w:spacing w:line="276" w:lineRule="auto"/>
              <w:ind/>
              <w:contextualSpacing w:val="1"/>
              <w:jc w:val="center"/>
              <w:rPr>
                <w:b w:val="1"/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CD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2.10.3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CE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Информирование населения о социально-значимой общественной деятельности казачьих обществ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CF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D0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D105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D3050000">
            <w:pPr>
              <w:widowControl w:val="1"/>
              <w:tabs>
                <w:tab w:leader="none" w:pos="1134" w:val="left"/>
              </w:tabs>
              <w:spacing w:line="240" w:lineRule="auto"/>
              <w:ind/>
              <w:contextualSpacing w:val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о деятельности казачьих обществ в </w:t>
            </w:r>
            <w:r>
              <w:rPr>
                <w:sz w:val="24"/>
              </w:rPr>
              <w:t>средствах массовой информации, на официальном сайте Администрации Белокалитвинского района.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D4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D5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Сектор по взаимодействию с административными </w:t>
            </w:r>
            <w:r>
              <w:rPr>
                <w:sz w:val="24"/>
              </w:rPr>
              <w:t>органами, казачеством и общественными объединениями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D6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о деятельности казачьих обществ на официальном сайте Администрации </w:t>
            </w:r>
            <w:r>
              <w:rPr>
                <w:sz w:val="24"/>
              </w:rPr>
              <w:t>Белокалитвинского района.</w:t>
            </w:r>
            <w:r>
              <w:rPr>
                <w:color w:val="000000"/>
                <w:sz w:val="26"/>
              </w:rPr>
              <w:t xml:space="preserve"> </w:t>
            </w:r>
            <w:r>
              <w:rPr>
                <w:sz w:val="24"/>
              </w:rPr>
              <w:t>В целях информационного обеспечения деятельности казачьих обществ района был обеспечен ежемесячный выпуск газеты «Майдан» (приложение к газете «Перекресток»)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D8050000">
            <w:pPr>
              <w:widowControl w:val="1"/>
              <w:tabs>
                <w:tab w:leader="none" w:pos="1134" w:val="left"/>
              </w:tabs>
              <w:spacing w:line="240" w:lineRule="auto"/>
              <w:ind/>
              <w:contextualSpacing w:val="1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значимых событиях в наиболее популярных социальных сетях (</w:t>
            </w:r>
            <w:r>
              <w:rPr>
                <w:sz w:val="24"/>
              </w:rPr>
              <w:t>Vkontakte</w:t>
            </w:r>
            <w:r>
              <w:rPr>
                <w:sz w:val="24"/>
              </w:rPr>
              <w:t xml:space="preserve"> и др.) И вовлечение казачьей молодежи в диалог и активную социальную практику (культурные мероприятия, конкурсы, соревнования и др.)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D9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DA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DB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населения о всех проводимых </w:t>
            </w:r>
            <w:r>
              <w:rPr>
                <w:sz w:val="24"/>
              </w:rPr>
              <w:t>мероприяти</w:t>
            </w:r>
            <w:r>
              <w:rPr>
                <w:sz w:val="24"/>
              </w:rPr>
              <w:t>ях</w:t>
            </w:r>
          </w:p>
          <w:p w14:paraId="DC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5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DE050000">
            <w:pPr>
              <w:widowControl w:val="1"/>
              <w:tabs>
                <w:tab w:leader="none" w:pos="1134" w:val="left"/>
              </w:tabs>
              <w:spacing w:line="240" w:lineRule="auto"/>
              <w:ind/>
              <w:contextualSpacing w:val="1"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>2.11. Безопасность населения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DF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E0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E1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5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E305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2.11.1 </w:t>
            </w:r>
          </w:p>
          <w:p w14:paraId="E4050000">
            <w:pPr>
              <w:widowControl w:val="1"/>
              <w:tabs>
                <w:tab w:leader="none" w:pos="1134" w:val="left"/>
              </w:tabs>
              <w:spacing w:line="240" w:lineRule="auto"/>
              <w:ind/>
              <w:contextualSpacing w:val="1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(приоритетное направление):</w:t>
            </w:r>
            <w:r>
              <w:rPr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Расширение системы АПК «Безопасный город»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E5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E6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E7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E905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Установка видеокамер в местах массового скопления людей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EA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2023-2030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EB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МКУ Белокалитвинского района «Управление гражданской обороны и чрезвычайных ситуаций»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EC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Организован </w:t>
            </w:r>
            <w:r>
              <w:rPr>
                <w:sz w:val="24"/>
              </w:rPr>
              <w:t xml:space="preserve">контроль состояния и работоспособности автоматической пожарной сигнализации «Сполох», в которую заведено </w:t>
            </w:r>
            <w:r>
              <w:rPr>
                <w:sz w:val="24"/>
              </w:rPr>
              <w:t>134</w:t>
            </w:r>
            <w:r>
              <w:rPr>
                <w:sz w:val="24"/>
              </w:rPr>
              <w:t xml:space="preserve"> объекта, и «Стрелец-Мониторинг» с количеством заведённых объектов </w:t>
            </w:r>
            <w:r>
              <w:rPr>
                <w:sz w:val="24"/>
              </w:rPr>
              <w:t>– 41 единица</w:t>
            </w:r>
            <w:r>
              <w:rPr>
                <w:sz w:val="24"/>
              </w:rPr>
              <w:t xml:space="preserve">, установленных в социально значимых объектах. В настоящее время в АПК «Безопасный город» района заведена </w:t>
            </w:r>
            <w:r>
              <w:rPr>
                <w:sz w:val="24"/>
              </w:rPr>
              <w:t>321</w:t>
            </w:r>
            <w:r>
              <w:rPr>
                <w:sz w:val="24"/>
              </w:rPr>
              <w:t xml:space="preserve"> камера</w:t>
            </w:r>
            <w:r>
              <w:rPr>
                <w:sz w:val="24"/>
              </w:rPr>
              <w:t xml:space="preserve"> видеонаблюдения.</w:t>
            </w:r>
          </w:p>
          <w:p w14:paraId="ED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целях повышения уровня общественной безопасности проводится работа по развитию системы видеонаблюдения в городских и сельских поселениях. 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5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EF05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2.11.2 </w:t>
            </w:r>
          </w:p>
          <w:p w14:paraId="F0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>(приоритетное направление): Воспитание гражданской ответственности и толерантности, противодействие любым проявлениям экстремизма и ксенофобии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F1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F2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F3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F505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Проведение воспитательной, пропагандистской работы с населением района, направленной на предупреждение террористической и экстремистской деятельности, повышение бдительности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F6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2023-2030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F705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F805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зготовлены информационно-пропагандистские печатные материалы по противодействию экстремизму и терроризму и распространены на объектах социальной сферы, торговли и в общественном транспорте. Изготовлены информационные баннеры по противодействию экстремизму и терроризму и размещены на рекламных щитах города.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5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FA050000">
            <w:pPr>
              <w:widowControl w:val="1"/>
              <w:spacing w:line="276" w:lineRule="auto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2.11.3 </w:t>
            </w:r>
          </w:p>
          <w:p w14:paraId="FB050000">
            <w:pPr>
              <w:widowControl w:val="1"/>
              <w:spacing w:line="276" w:lineRule="auto"/>
              <w:ind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>(приоритетное направление): Совершенствование системы профилактики правонарушений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FC05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FD05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FE05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5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0006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 xml:space="preserve">Развитие системы профилактического учета лиц, </w:t>
            </w:r>
            <w:r>
              <w:rPr>
                <w:sz w:val="24"/>
              </w:rPr>
              <w:t>склонных к совершению правонарушений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01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2023-2030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02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Сектор по взаимодействию с административными </w:t>
            </w:r>
            <w:r>
              <w:rPr>
                <w:sz w:val="24"/>
              </w:rPr>
              <w:t>органами, казачеством и общественными объединениями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03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целью создания комплексной системы профилактической, коррекционной и </w:t>
            </w:r>
            <w:r>
              <w:rPr>
                <w:sz w:val="24"/>
              </w:rPr>
              <w:t xml:space="preserve">реабилитационной работы с детьми «группы риска» было трудоустроено </w:t>
            </w:r>
            <w:r>
              <w:rPr>
                <w:sz w:val="24"/>
              </w:rPr>
              <w:t>725</w:t>
            </w:r>
            <w:r>
              <w:rPr>
                <w:sz w:val="24"/>
              </w:rPr>
              <w:t xml:space="preserve"> несовершеннолетних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 них, находящихся в трудной жизненной ситуации </w:t>
            </w:r>
            <w:r>
              <w:rPr>
                <w:sz w:val="24"/>
              </w:rPr>
              <w:t>51</w:t>
            </w:r>
            <w:r>
              <w:rPr>
                <w:sz w:val="24"/>
              </w:rPr>
              <w:t xml:space="preserve"> подросток (из малообеспеченных семей – </w:t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 xml:space="preserve"> чел.</w:t>
            </w:r>
            <w:r>
              <w:rPr>
                <w:sz w:val="24"/>
              </w:rPr>
              <w:t>; дети «группы риска»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 xml:space="preserve"> состоящие на </w:t>
            </w:r>
            <w:r>
              <w:rPr>
                <w:sz w:val="24"/>
              </w:rPr>
              <w:t>внутришкольном</w:t>
            </w:r>
            <w:r>
              <w:rPr>
                <w:sz w:val="24"/>
              </w:rPr>
              <w:t xml:space="preserve"> учете - 11 чел., на учете в КДН  и ОВД - </w:t>
            </w:r>
            <w:r>
              <w:rPr>
                <w:sz w:val="24"/>
              </w:rPr>
              <w:t>13</w:t>
            </w:r>
            <w:r>
              <w:rPr>
                <w:sz w:val="24"/>
              </w:rPr>
              <w:t xml:space="preserve"> чел.). </w:t>
            </w:r>
            <w:r>
              <w:rPr>
                <w:rStyle w:val="Style_4_ch"/>
                <w:sz w:val="24"/>
              </w:rPr>
              <w:t xml:space="preserve">Проведена спартакиада для подростков, оказавшихся в сложной жизненной ситуации «Здоровый выбор». </w:t>
            </w:r>
            <w:r>
              <w:rPr>
                <w:rStyle w:val="Style_4_ch"/>
                <w:sz w:val="24"/>
              </w:rPr>
              <w:t>П</w:t>
            </w:r>
            <w:r>
              <w:rPr>
                <w:rStyle w:val="Style_4_ch"/>
                <w:sz w:val="24"/>
              </w:rPr>
              <w:t>роведен Молодежный образовательный форум «Молодая волна», который проходил в три заезда и в котором приняло участие 16 активных подростков, зональный этап Спартакиады допризывной и призывной молодежи, в рамках которого привлечено к спортивному волонтерству более 150 подростков, в том числе 7 человек «группы риска», региональный проект по социальной интеграции и профилактики для подростков «группы риска» «ПРОРЫВ», квиз-игра «Дело-табак!»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406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0506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Задача 2.11.4</w:t>
            </w:r>
          </w:p>
          <w:p w14:paraId="06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>(приоритетное направление): Достижение и поддержание необходимого уровня защищенности населения Белокалитвинского района от угроз криминального характера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07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08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09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6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0B06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Повышение эффективности профилактики безнадзорности, социальной помощи и реабилитации несовершеннолетних лиц с различными формами и степенью девиации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0C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2023-2030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0D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образования Администрации Белокалитвинского района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0E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целью создания комплексной системы профилактической, коррекционной и реабилитационной работы с детьми «группы риска» было трудоустроено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725</w:t>
            </w:r>
            <w:r>
              <w:rPr>
                <w:sz w:val="24"/>
              </w:rPr>
              <w:t xml:space="preserve"> несовершеннолетних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 них, находящихся в трудной жизненной ситуации </w:t>
            </w:r>
            <w:r>
              <w:rPr>
                <w:sz w:val="24"/>
              </w:rPr>
              <w:t>51</w:t>
            </w:r>
            <w:r>
              <w:rPr>
                <w:sz w:val="24"/>
              </w:rPr>
              <w:t xml:space="preserve"> подросток (из малообеспеченных семей – </w:t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 xml:space="preserve"> чел.</w:t>
            </w:r>
            <w:r>
              <w:rPr>
                <w:sz w:val="24"/>
              </w:rPr>
              <w:t>; дети «группы риска»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 xml:space="preserve"> состоящие на </w:t>
            </w:r>
            <w:r>
              <w:rPr>
                <w:sz w:val="24"/>
              </w:rPr>
              <w:t>внутришкольном</w:t>
            </w:r>
            <w:r>
              <w:rPr>
                <w:sz w:val="24"/>
              </w:rPr>
              <w:t xml:space="preserve"> учете - 11 чел., на учете в КДН  и ОВД - </w:t>
            </w:r>
            <w:r>
              <w:rPr>
                <w:sz w:val="24"/>
              </w:rPr>
              <w:t>13</w:t>
            </w:r>
            <w:r>
              <w:rPr>
                <w:sz w:val="24"/>
              </w:rPr>
              <w:t xml:space="preserve"> чел.).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F06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1006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Задача 2.11.5</w:t>
            </w:r>
          </w:p>
          <w:p w14:paraId="1106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(приоритетное направление):</w:t>
            </w:r>
          </w:p>
          <w:p w14:paraId="12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>Повышение уровня обеспеченности социальных объектов оборудованием для антитеррористической защищенности и формирование системы действий населения при возникновении террористической угрозы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13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14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15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6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17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выполнения функций муниципальными учреждениями в части реализации комплекса антитеррористи</w:t>
            </w:r>
            <w:r>
              <w:rPr>
                <w:sz w:val="24"/>
              </w:rPr>
              <w:t>ческих мероприятий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18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2023-2030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19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1A060000">
            <w:pPr>
              <w:widowControl w:val="1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За счет средств местного бюджет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 в 2025 году оплачены услуги по физической охране в МБОУ СОШ № 1, МБОУ СОШ № 17, МБОУ СОШ № 3, МБОУ СОШ № 5, МБОУ СОШ № 6, МБОУ СОШ № 8. Также в МБОУ СОШ № 1 и 8 установлена система экстренного оповещения ГО и ЧС.</w:t>
            </w: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6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1C06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Задача 2.11.6</w:t>
            </w:r>
          </w:p>
          <w:p w14:paraId="1D06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1E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>Модернизация региональной системы оповещения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1F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20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21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60000">
            <w:pPr>
              <w:widowControl w:val="1"/>
              <w:numPr>
                <w:ilvl w:val="0"/>
                <w:numId w:val="2"/>
              </w:numPr>
              <w:ind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3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23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Установка системы оповещения в городских и сельских поселениях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24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2023-2030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25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МКУ Белокалитвинского района «Управление гражданской обороны и чрезвычайных ситуаций»</w:t>
            </w:r>
          </w:p>
        </w:tc>
        <w:tc>
          <w:tcPr>
            <w:tcW w:type="dxa" w:w="5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  <w:vAlign w:val="center"/>
          </w:tcPr>
          <w:p w14:paraId="26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Улучшилась система информирования населения района для своевременного доведения информации об угрозе и возникновения чрезвычайных ситуаций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Увеличение количества </w:t>
            </w:r>
            <w:r>
              <w:rPr>
                <w:sz w:val="24"/>
              </w:rPr>
              <w:t>оповещаемого населения при чрезвычайных ситуациях природного, техногенного и биолого-социального характера на территории Белокалитвинского района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>Доля населения Белокалитвинского района, охваченного системой оповещения в городских и сельских поселениях</w:t>
            </w:r>
            <w:r>
              <w:rPr>
                <w:sz w:val="24"/>
              </w:rPr>
              <w:t xml:space="preserve">, составила </w:t>
            </w:r>
            <w:r>
              <w:rPr>
                <w:sz w:val="24"/>
              </w:rPr>
              <w:t xml:space="preserve">93,6 </w:t>
            </w:r>
            <w:r>
              <w:rPr>
                <w:sz w:val="24"/>
              </w:rPr>
              <w:t>%.</w:t>
            </w:r>
            <w:r>
              <w:rPr>
                <w:sz w:val="24"/>
              </w:rPr>
              <w:t xml:space="preserve">  </w:t>
            </w:r>
          </w:p>
        </w:tc>
      </w:tr>
    </w:tbl>
    <w:p w14:paraId="27060000">
      <w:pPr>
        <w:widowControl w:val="1"/>
        <w:spacing w:after="200" w:line="276" w:lineRule="auto"/>
        <w:ind w:firstLine="709"/>
        <w:jc w:val="center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t>План мероприятий (пространственная политика)</w:t>
      </w:r>
      <w:r>
        <w:rPr>
          <w:sz w:val="28"/>
        </w:rPr>
        <w:br/>
      </w:r>
      <w:r>
        <w:rPr>
          <w:sz w:val="28"/>
        </w:rPr>
        <w:t xml:space="preserve">по реализации Стратегии социально-экономического развития </w:t>
      </w:r>
      <w:r>
        <w:rPr>
          <w:sz w:val="28"/>
        </w:rPr>
        <w:br/>
      </w:r>
      <w:r>
        <w:rPr>
          <w:sz w:val="28"/>
        </w:rPr>
        <w:t>Белокалитвинского района до 2030 года</w:t>
      </w:r>
    </w:p>
    <w:p w14:paraId="28060000">
      <w:pPr>
        <w:widowControl w:val="1"/>
        <w:spacing w:line="276" w:lineRule="auto"/>
        <w:ind w:firstLine="709"/>
        <w:jc w:val="both"/>
        <w:rPr>
          <w:sz w:val="16"/>
        </w:rPr>
      </w:pPr>
    </w:p>
    <w:tbl>
      <w:tblPr>
        <w:tblStyle w:val="Style_3"/>
        <w:tblW w:type="auto" w:w="0"/>
        <w:tblInd w:type="dxa" w:w="-28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857"/>
        <w:gridCol w:w="5066"/>
        <w:gridCol w:w="1985"/>
        <w:gridCol w:w="2673"/>
        <w:gridCol w:w="4870"/>
      </w:tblGrid>
      <w:tr>
        <w:trPr>
          <w:trHeight w:hRule="atLeast" w:val="20"/>
          <w:tblHeader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60000">
            <w:pPr>
              <w:widowControl w:val="1"/>
              <w:spacing w:line="276" w:lineRule="auto"/>
              <w:ind w:left="4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  <w:p w14:paraId="2A060000">
            <w:pPr>
              <w:widowControl w:val="1"/>
              <w:spacing w:line="276" w:lineRule="auto"/>
              <w:ind w:left="4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п/п</w:t>
            </w: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 мероприятия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60000">
            <w:pPr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Период реализации мероприятия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60000">
            <w:pPr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Ответственный исполнитель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2E06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</w:t>
            </w:r>
            <w:r>
              <w:rPr>
                <w:b w:val="1"/>
                <w:sz w:val="24"/>
              </w:rPr>
              <w:t>езультаты</w:t>
            </w:r>
            <w:r>
              <w:rPr>
                <w:b w:val="1"/>
                <w:sz w:val="24"/>
              </w:rPr>
              <w:t xml:space="preserve"> за 20</w:t>
            </w:r>
            <w:r>
              <w:rPr>
                <w:b w:val="1"/>
                <w:sz w:val="24"/>
              </w:rPr>
              <w:t>25</w:t>
            </w:r>
            <w:r>
              <w:rPr>
                <w:b w:val="1"/>
                <w:sz w:val="24"/>
              </w:rPr>
              <w:t xml:space="preserve"> год</w:t>
            </w:r>
          </w:p>
        </w:tc>
      </w:tr>
      <w:tr>
        <w:trPr>
          <w:trHeight w:hRule="atLeast" w:val="20"/>
          <w:tblHeader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60000">
            <w:pPr>
              <w:widowControl w:val="1"/>
              <w:spacing w:line="276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30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31060000">
            <w:pPr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32060000">
            <w:pPr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306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hRule="atLeast" w:val="552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60000">
            <w:pPr>
              <w:widowControl w:val="1"/>
              <w:spacing w:line="276" w:lineRule="auto"/>
              <w:ind w:left="4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60000">
            <w:pPr>
              <w:widowControl w:val="1"/>
              <w:tabs>
                <w:tab w:leader="none" w:pos="993" w:val="left"/>
              </w:tabs>
              <w:spacing w:line="276" w:lineRule="auto"/>
              <w:ind w:hanging="27" w:left="-27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3. ПРОСТРАНСТВЕННАЯ ПОЛИТИКА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60000">
            <w:pPr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37060000">
            <w:pPr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3806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67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60000">
            <w:pPr>
              <w:widowControl w:val="1"/>
              <w:spacing w:line="276" w:lineRule="auto"/>
              <w:ind w:left="4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A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3.1 ДОРОЖНО-ТРАНСПОРТНЫЙ КОМПЛЕКС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60000">
            <w:pPr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60000">
            <w:pPr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3D06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60000">
            <w:pPr>
              <w:widowControl w:val="1"/>
              <w:numPr>
                <w:ilvl w:val="0"/>
                <w:numId w:val="3"/>
              </w:numPr>
              <w:ind w:firstLine="0" w:left="-27"/>
              <w:contextualSpacing w:val="1"/>
              <w:jc w:val="right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3F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Реализация муниципальной программы «Развитие транспортной системы» на период 2019-2030 гг. с учетом достигнутых показателей предыдущего этапа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42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реализация  муниципальной программы, которая способствует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азвити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 xml:space="preserve"> транспо</w:t>
            </w:r>
            <w:r>
              <w:rPr>
                <w:sz w:val="24"/>
              </w:rPr>
              <w:t xml:space="preserve">ртной инфраструктуры;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 xml:space="preserve"> безопасности дорожного движения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60000">
            <w:pPr>
              <w:widowControl w:val="1"/>
              <w:numPr>
                <w:ilvl w:val="0"/>
                <w:numId w:val="3"/>
              </w:numPr>
              <w:ind w:firstLine="0" w:left="-27"/>
              <w:contextualSpacing w:val="1"/>
              <w:jc w:val="right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44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реализации и корректировка плана мероприятий муниципальной программы на период 2019-2030 гг. с учетом достигнутых показателей предыдущего этапа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z w:val="24"/>
              </w:rPr>
              <w:br/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47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  корректировка показателей и объемов финансирования мероприятий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60000">
            <w:pPr>
              <w:widowControl w:val="1"/>
              <w:spacing w:line="276" w:lineRule="auto"/>
              <w:ind w:left="-27"/>
              <w:jc w:val="right"/>
              <w:rPr>
                <w:b w:val="1"/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49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3.1.1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4A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сети автомобильных дорог местного значения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4B060000">
            <w:pPr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4C060000">
            <w:pPr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4D06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60000">
            <w:pPr>
              <w:widowControl w:val="1"/>
              <w:numPr>
                <w:ilvl w:val="0"/>
                <w:numId w:val="3"/>
              </w:numPr>
              <w:ind w:firstLine="0" w:left="-27"/>
              <w:contextualSpacing w:val="1"/>
              <w:jc w:val="right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проектно-сметной документации на строительство, реконструкцию и капитальный </w:t>
            </w:r>
            <w:r>
              <w:rPr>
                <w:sz w:val="24"/>
              </w:rPr>
              <w:t>ремонт сети автомобильных дорог местного значения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Отдел строительства, промышленности, </w:t>
            </w:r>
            <w:r>
              <w:rPr>
                <w:sz w:val="24"/>
              </w:rPr>
              <w:t>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60000">
            <w:pPr>
              <w:widowControl w:val="1"/>
              <w:numPr>
                <w:ilvl w:val="0"/>
                <w:numId w:val="3"/>
              </w:numPr>
              <w:ind w:firstLine="135" w:left="-169"/>
              <w:contextualSpacing w:val="1"/>
              <w:jc w:val="right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Строительство, реконструкция и капитальный ремонт сети автомобильных дорог местного значения</w:t>
            </w:r>
          </w:p>
          <w:p w14:paraId="54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rPr>
                <w:sz w:val="24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60000">
            <w:pPr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60000">
            <w:pPr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57060000">
            <w:pPr>
              <w:spacing w:line="240" w:lineRule="auto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Завершены работы по капитальному </w:t>
            </w:r>
            <w:r>
              <w:rPr>
                <w:rFonts w:ascii="Times New Roman" w:hAnsi="Times New Roman"/>
                <w:b w:val="0"/>
                <w:sz w:val="24"/>
              </w:rPr>
              <w:t xml:space="preserve">ремонту автомобильной дороги по ул. Макарова </w:t>
            </w:r>
            <w:r>
              <w:rPr>
                <w:rFonts w:ascii="Times New Roman" w:hAnsi="Times New Roman"/>
                <w:b w:val="0"/>
                <w:sz w:val="24"/>
              </w:rPr>
              <w:t>в пос</w:t>
            </w:r>
            <w:r>
              <w:rPr>
                <w:rFonts w:ascii="Times New Roman" w:hAnsi="Times New Roman"/>
                <w:b w:val="0"/>
                <w:sz w:val="24"/>
              </w:rPr>
              <w:t>. С</w:t>
            </w:r>
            <w:r>
              <w:rPr>
                <w:rFonts w:ascii="Times New Roman" w:hAnsi="Times New Roman"/>
                <w:b w:val="0"/>
                <w:sz w:val="24"/>
              </w:rPr>
              <w:t>инегорский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60000">
            <w:pPr>
              <w:widowControl w:val="1"/>
              <w:spacing w:line="276" w:lineRule="auto"/>
              <w:ind w:firstLine="135" w:left="-169"/>
              <w:jc w:val="right"/>
              <w:rPr>
                <w:b w:val="1"/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59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3.1.2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5A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и модернизация системы искусственных сооружений, путепроводов, мостов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5B060000">
            <w:pPr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5C060000">
            <w:pPr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5D06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60000">
            <w:pPr>
              <w:widowControl w:val="1"/>
              <w:numPr>
                <w:ilvl w:val="0"/>
                <w:numId w:val="3"/>
              </w:numPr>
              <w:ind w:firstLine="135" w:left="-169"/>
              <w:contextualSpacing w:val="1"/>
              <w:jc w:val="right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5F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проектно-сметной документации на строительство, реконструкцию и капитальный ремонт искусственных сооружений, путепроводов, мостов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62060000">
            <w:pPr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>Разработана проектно-сметная документация и получено положительное заключение государственной экспертизы по объекту: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>«Реконструкция объекта: «Мост (р. Северский Донец) по ул. Комарова»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60000">
            <w:pPr>
              <w:widowControl w:val="1"/>
              <w:numPr>
                <w:ilvl w:val="0"/>
                <w:numId w:val="3"/>
              </w:numPr>
              <w:ind w:firstLine="135" w:left="-169"/>
              <w:contextualSpacing w:val="1"/>
              <w:jc w:val="right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 искусственных сооружений, путепроводов, мостов, переправ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67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143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60000">
            <w:pPr>
              <w:widowControl w:val="1"/>
              <w:numPr>
                <w:ilvl w:val="0"/>
                <w:numId w:val="3"/>
              </w:numPr>
              <w:ind w:firstLine="135" w:left="-169"/>
              <w:contextualSpacing w:val="1"/>
              <w:jc w:val="right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69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Капитальный ремонт искусственных сооружений, путепроводов, мостов, переправ, находящихся в аварийном состоянии, а также имеющих высокий физический износ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6C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bookmarkStart w:id="1" w:name="_GoBack"/>
            <w:bookmarkEnd w:id="1"/>
            <w:r>
              <w:rPr>
                <w:sz w:val="24"/>
              </w:rPr>
              <w:t xml:space="preserve">аботы по капитальному ремонту </w:t>
            </w:r>
            <w:r>
              <w:rPr>
                <w:sz w:val="24"/>
              </w:rPr>
              <w:t>автомобильной дороги</w:t>
            </w:r>
            <w:r>
              <w:rPr>
                <w:sz w:val="24"/>
              </w:rPr>
              <w:t xml:space="preserve"> по ул. Макарова п. Синегорский, в составе которых водопропускное сооружение</w:t>
            </w:r>
            <w:r>
              <w:rPr>
                <w:rStyle w:val="Style_4_ch"/>
                <w:sz w:val="24"/>
              </w:rPr>
              <w:t xml:space="preserve"> установлено взамен аварийного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60000">
            <w:pPr>
              <w:widowControl w:val="1"/>
              <w:spacing w:line="276" w:lineRule="auto"/>
              <w:ind w:firstLine="135" w:left="-169"/>
              <w:jc w:val="right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6E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3.1.3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6F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Повышение безопасности и сокращение количества дорожно-транспортных происшествий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60000">
            <w:pPr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1060000">
            <w:pPr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72060000">
            <w:pPr>
              <w:widowControl w:val="1"/>
              <w:spacing w:line="276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Выявление и снижение количества мест концентрации дорожно-транспортных происшествий (аварийно-опасных участков) на дорожной сети</w:t>
            </w:r>
            <w:r>
              <w:rPr>
                <w:sz w:val="24"/>
              </w:rPr>
              <w:br/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77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На межпоселковых дорогах района нанесена горизонтальная дорожная разметка. У</w:t>
            </w:r>
            <w:r>
              <w:rPr>
                <w:rStyle w:val="Style_4_ch"/>
                <w:sz w:val="24"/>
              </w:rPr>
              <w:t xml:space="preserve">становлено </w:t>
            </w:r>
            <w:r>
              <w:rPr>
                <w:rStyle w:val="Style_4_ch"/>
                <w:sz w:val="24"/>
              </w:rPr>
              <w:t>8 остановочных павильонов</w:t>
            </w:r>
            <w:r>
              <w:rPr>
                <w:rStyle w:val="Style_4_ch"/>
                <w:sz w:val="24"/>
              </w:rPr>
              <w:t xml:space="preserve"> стоимостью </w:t>
            </w:r>
            <w:r>
              <w:rPr>
                <w:rStyle w:val="Style_4_ch"/>
                <w:sz w:val="24"/>
              </w:rPr>
              <w:t>1,4 млн. рублей</w:t>
            </w:r>
            <w:r>
              <w:rPr>
                <w:rStyle w:val="Style_4_ch"/>
                <w:sz w:val="24"/>
              </w:rPr>
              <w:t xml:space="preserve">, выполнено устройство </w:t>
            </w:r>
            <w:r>
              <w:rPr>
                <w:rStyle w:val="Style_4_ch"/>
                <w:sz w:val="24"/>
              </w:rPr>
              <w:t>69-ти новых</w:t>
            </w:r>
            <w:r>
              <w:rPr>
                <w:rStyle w:val="Style_4_ch"/>
                <w:sz w:val="24"/>
              </w:rPr>
              <w:t xml:space="preserve"> дорожных знаков.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>В соответствии с проектом по капитальному ремонту автомобильной дороги по ул.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>Макарова п. Синегорский в</w:t>
            </w:r>
            <w:r>
              <w:rPr>
                <w:rStyle w:val="Style_4_ch"/>
                <w:sz w:val="24"/>
              </w:rPr>
              <w:t>ыполнены</w:t>
            </w:r>
            <w:r>
              <w:rPr>
                <w:rStyle w:val="Style_4_ch"/>
                <w:sz w:val="24"/>
              </w:rPr>
              <w:t xml:space="preserve"> следующие</w:t>
            </w:r>
            <w:r>
              <w:rPr>
                <w:rStyle w:val="Style_4_ch"/>
                <w:sz w:val="24"/>
              </w:rPr>
              <w:t xml:space="preserve"> работы: восстановление асфальтобетонного покрытия дороги протяженность 952 м, установка остановочного павильона, дорожных знаков и нанесение дорожной разметки, устройство тротуаров и линий уличного освещения. О</w:t>
            </w:r>
            <w:r>
              <w:rPr>
                <w:rStyle w:val="Style_4_ch"/>
                <w:sz w:val="24"/>
              </w:rPr>
              <w:t>бустроен пешеходный переход, совмещенный с искусственной неровностью в хуторе Ленина</w:t>
            </w:r>
            <w:r>
              <w:rPr>
                <w:sz w:val="32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техническими средствами обучения, оборудованием, наглядными, учебными и методическими материалами муниципальных образовательных учреждений, обеспечивающих профилактику детского дорожно-транспортного травматизма и обучение детей безопасному участию в дорожном движении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7C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Оснащение </w:t>
            </w:r>
            <w:r>
              <w:rPr>
                <w:sz w:val="24"/>
              </w:rPr>
              <w:t>образ</w:t>
            </w:r>
            <w:r>
              <w:rPr>
                <w:sz w:val="24"/>
              </w:rPr>
              <w:t xml:space="preserve">овательных учреждений </w:t>
            </w:r>
            <w:r>
              <w:rPr>
                <w:sz w:val="24"/>
              </w:rPr>
              <w:t>наглядными, учебными и методическими материалами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обеспечивающи</w:t>
            </w:r>
            <w:r>
              <w:rPr>
                <w:sz w:val="24"/>
              </w:rPr>
              <w:t>ми</w:t>
            </w:r>
            <w:r>
              <w:rPr>
                <w:sz w:val="24"/>
              </w:rPr>
              <w:t xml:space="preserve"> профилактику детского дорожно-транспортного травматизма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массовых мероприятий по профилактике детского дорожно-транспортного травматизма и соревнований между учащимися образовательных организаций по безопасности дорожного движения.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образования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81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 по профилактике детского дорожно-транспортного травматизма в дошкольных и образовательных учреждениях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Приведение в нормативное состояние нерегулируемых пешеходных переходов, в том числе прилегающих к дошкольным образовательным и общеобразовательным </w:t>
            </w:r>
            <w:r>
              <w:rPr>
                <w:sz w:val="24"/>
              </w:rPr>
              <w:t>организациям, а также организациям дополнительного образования, путем оснащения средствами освещения, искусственными дорожными неровностями, светофорами с вызывными устройствами и другими техническими средствами.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86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>В соответствии с проектом по капитальному ремонту автомобильной дороги по ул.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>Макарова п. Синегорский в</w:t>
            </w:r>
            <w:r>
              <w:rPr>
                <w:rStyle w:val="Style_4_ch"/>
                <w:sz w:val="24"/>
              </w:rPr>
              <w:t>ыполнены</w:t>
            </w:r>
            <w:r>
              <w:rPr>
                <w:rStyle w:val="Style_4_ch"/>
                <w:sz w:val="24"/>
              </w:rPr>
              <w:t xml:space="preserve"> следующие</w:t>
            </w:r>
            <w:r>
              <w:rPr>
                <w:rStyle w:val="Style_4_ch"/>
                <w:sz w:val="24"/>
              </w:rPr>
              <w:t xml:space="preserve"> работы: восстановление асфальтобетонного покрытия дороги протяженность 952 м, установка остановочного павильона, дорожных знаков и нанесение дорожной разметки, устройство тротуаров и линий уличного освещения. О</w:t>
            </w:r>
            <w:r>
              <w:rPr>
                <w:rStyle w:val="Style_4_ch"/>
                <w:sz w:val="24"/>
              </w:rPr>
              <w:t>бустроен пешеходный переход, совмещенный с искусственной неровностью в хуторе Ленина</w:t>
            </w:r>
            <w:r>
              <w:rPr>
                <w:sz w:val="32"/>
              </w:rPr>
              <w:t xml:space="preserve"> </w:t>
            </w:r>
          </w:p>
        </w:tc>
      </w:tr>
      <w:tr>
        <w:trPr>
          <w:trHeight w:hRule="atLeast" w:val="567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60000">
            <w:pPr>
              <w:keepNext w:val="1"/>
              <w:keepLines w:val="1"/>
              <w:widowControl w:val="1"/>
              <w:spacing w:line="276" w:lineRule="auto"/>
              <w:ind w:left="4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88060000">
            <w:pPr>
              <w:keepNext w:val="1"/>
              <w:keepLines w:val="1"/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3.2 ИНЖЕНЕРНАЯ И ЖИЛИЩНО-КОММУНАЛЬНАЯ ИНФРАСТРУКТУРА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89060000">
            <w:pPr>
              <w:keepNext w:val="1"/>
              <w:keepLines w:val="1"/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8A060000">
            <w:pPr>
              <w:keepNext w:val="1"/>
              <w:keepLines w:val="1"/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8B060000">
            <w:pPr>
              <w:keepNext w:val="1"/>
              <w:keepLines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60000">
            <w:pPr>
              <w:widowControl w:val="1"/>
              <w:spacing w:line="276" w:lineRule="auto"/>
              <w:ind w:left="4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8D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3.2.1 (приоритетное направление): </w:t>
            </w:r>
          </w:p>
          <w:p w14:paraId="8E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Обеспечение информационной открытости и подконтрольности жилищно-коммунального хозяйств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8F060000">
            <w:pPr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90060000">
            <w:pPr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9106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93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Реализация муниципальной программы «Обеспечение качественными жилищно-коммунальными услугами населения Белокалитвинского района» на период 2019-2030 гг. с учетом достигнутых показателей предыдущего этапа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96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реализация  муниципальной программы, которая способствует </w:t>
            </w:r>
            <w:r>
              <w:rPr>
                <w:sz w:val="24"/>
              </w:rPr>
              <w:t>созданию</w:t>
            </w:r>
            <w:r>
              <w:rPr>
                <w:sz w:val="24"/>
              </w:rPr>
              <w:t xml:space="preserve"> условий для обеспечения бесперебойности и роста качества жилищно-коммунальных услуг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98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реализации и корректировка плана мероприятий муниципальной программы «Обеспечение качественными жилищно-коммунальными услугами населения Белокалитвинского района» на период 2019-2030 гг. с учетом достигнутых показателей предыдущего этапа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A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9B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  корректировка показателей и объемов финансирования мероприятий</w:t>
            </w:r>
            <w:r>
              <w:rPr>
                <w:sz w:val="24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9D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Развитие деятельности территориальных общественных советов (ТОС) по вопросам жилищно-коммунального хозяйства</w:t>
            </w:r>
            <w:r>
              <w:rPr>
                <w:sz w:val="24"/>
              </w:rPr>
              <w:br/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F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0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Активизация работы ТОС путем участия в региональных и федеральных мероприятиях, форумах, семинарах, </w:t>
            </w:r>
            <w:r>
              <w:rPr>
                <w:sz w:val="24"/>
              </w:rPr>
              <w:t>конкурсах</w:t>
            </w:r>
            <w:r>
              <w:rPr>
                <w:sz w:val="24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60000">
            <w:pPr>
              <w:widowControl w:val="1"/>
              <w:spacing w:line="276" w:lineRule="auto"/>
              <w:ind w:left="4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A2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Задача 3.2.2 (приоритетное направление):</w:t>
            </w:r>
          </w:p>
          <w:p w14:paraId="A3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системы водоснабжения, водоотведения и теплоснабжения, обеспечение бесперебойности и роста качества услуг ЖКХ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A4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  <w:vAlign w:val="center"/>
          </w:tcPr>
          <w:p w14:paraId="A5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A6060000">
            <w:pPr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Реализация муниципальной программы «Энергоэффектив</w:t>
            </w:r>
            <w:r>
              <w:rPr>
                <w:sz w:val="24"/>
              </w:rPr>
              <w:t>ность и развитие энергетики» на период 2019-2030 гг. с учетом достигнутых показателей программы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AB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реализация муниципальной программы, которая способствует </w:t>
            </w:r>
            <w:r>
              <w:rPr>
                <w:sz w:val="24"/>
              </w:rPr>
              <w:t>э</w:t>
            </w:r>
            <w:r>
              <w:rPr>
                <w:sz w:val="24"/>
              </w:rPr>
              <w:t>нергосбережени</w:t>
            </w:r>
            <w:r>
              <w:rPr>
                <w:sz w:val="24"/>
              </w:rPr>
              <w:t>ю и повышению</w:t>
            </w:r>
            <w:r>
              <w:rPr>
                <w:sz w:val="24"/>
              </w:rPr>
              <w:t xml:space="preserve"> энергетической эффективности;</w:t>
            </w:r>
          </w:p>
          <w:p w14:paraId="AC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развити</w:t>
            </w:r>
            <w:r>
              <w:rPr>
                <w:sz w:val="24"/>
              </w:rPr>
              <w:t>ю и модернизации</w:t>
            </w:r>
            <w:r>
              <w:rPr>
                <w:sz w:val="24"/>
              </w:rPr>
              <w:t xml:space="preserve"> электрических сетей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реализации и корректировка плана мероприятий муниципальной программы «Энергоэффектив</w:t>
            </w:r>
            <w:r>
              <w:rPr>
                <w:sz w:val="24"/>
              </w:rPr>
              <w:t>ность и развитие энергетики» на период 2019-2030 гг. с учетом достигнутых показателей предыдущего этапа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B1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  корректировка показателей и объемов финансирования мероприятий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B3060000">
            <w:pPr>
              <w:widowControl w:val="1"/>
              <w:tabs>
                <w:tab w:leader="none" w:pos="993" w:val="left"/>
              </w:tabs>
              <w:spacing w:line="276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схем водоснабжения, водоотведения и теплоснабжения, с учетом потребностей в развитии городских и сельских поселений района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60000">
            <w:pPr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60000">
            <w:pPr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B6060000">
            <w:pPr>
              <w:widowControl w:val="1"/>
              <w:spacing w:line="276" w:lineRule="auto"/>
              <w:ind/>
              <w:jc w:val="both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качества питьевой воды для </w:t>
            </w:r>
            <w:r>
              <w:rPr>
                <w:sz w:val="24"/>
              </w:rPr>
              <w:t>населения за счет увеличения количества населенных пунктов, подключенных к централизованной сети водоснабжения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60000">
            <w:pPr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60000">
            <w:pPr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</w:t>
            </w:r>
            <w:r>
              <w:rPr>
                <w:sz w:val="24"/>
              </w:rPr>
              <w:t>коммунального хозяйства, 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BB06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олномочия по организации холодного </w:t>
            </w:r>
            <w:r>
              <w:rPr>
                <w:sz w:val="24"/>
              </w:rPr>
              <w:t>водоснабжения населения с 1 января 2023 года осуществляет министерство жилищно-коммунального хозяйства Ростовской области.</w:t>
            </w:r>
          </w:p>
          <w:p w14:paraId="BC060000">
            <w:pPr>
              <w:widowControl w:val="1"/>
              <w:spacing w:line="240" w:lineRule="auto"/>
              <w:ind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Объекты водопроводно-канализационного хозяйства переданы в государственную собственность Ростовской области и на праве хозяйственного ведения в ГУП РО «УРСВ» с 1 января 2023 года.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Подключение (технологическое присоединение) новых объектов к централизованным системам водоснабжения в населенных пунктах, не обеспеченных централизованным водоснабжением, ГУП РО «УРСВ» в 2025</w:t>
            </w:r>
            <w:r>
              <w:rPr>
                <w:sz w:val="24"/>
              </w:rPr>
              <w:t xml:space="preserve"> году не производилось.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BE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качества питьевой воды для населения за счет реконструкции и капитального ремонта существующих водопроводов, в </w:t>
            </w:r>
            <w:r>
              <w:rPr>
                <w:sz w:val="24"/>
              </w:rPr>
              <w:t>т.ч</w:t>
            </w:r>
            <w:r>
              <w:rPr>
                <w:sz w:val="24"/>
              </w:rPr>
              <w:t xml:space="preserve">. для жителей населенных пунктов, не оборудованных современными системами централизованного водоснабжения 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хозяйства, 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C1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60000">
            <w:pPr>
              <w:widowControl w:val="1"/>
              <w:numPr>
                <w:ilvl w:val="0"/>
                <w:numId w:val="3"/>
              </w:numPr>
              <w:ind w:hanging="291" w:left="-36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Строительство, реконструкция, капитальный ремонт муниципальных объектов водопроводно-канализационного хозяйства</w:t>
            </w:r>
            <w:r>
              <w:rPr>
                <w:sz w:val="24"/>
              </w:rPr>
              <w:br/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хозяйства, 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C6060000">
            <w:pPr>
              <w:widowControl w:val="1"/>
              <w:spacing w:line="240" w:lineRule="auto"/>
              <w:ind/>
              <w:jc w:val="both"/>
              <w:rPr>
                <w:sz w:val="24"/>
                <w:highlight w:val="yellow"/>
              </w:rPr>
            </w:pPr>
            <w:r>
              <w:rPr>
                <w:rStyle w:val="Style_4_ch"/>
                <w:sz w:val="24"/>
              </w:rPr>
              <w:t>Филиалом «Белокалитвинский» ГУП РО «УРСВ»</w:t>
            </w:r>
            <w:r>
              <w:rPr>
                <w:rStyle w:val="Style_4_ch"/>
                <w:sz w:val="24"/>
              </w:rPr>
              <w:t xml:space="preserve"> отремонтированы водопроводные колодцы с заменой запорной арматуры в городе, в посёлках Сосны, Шолоховский, Коксовый, Синегорский и в хуторе Ленина, капитально отремонтированы скважины с заменой насосного оборудования на Левобережном и </w:t>
            </w:r>
            <w:r>
              <w:rPr>
                <w:rStyle w:val="Style_4_ch"/>
                <w:sz w:val="24"/>
              </w:rPr>
              <w:t>Усть</w:t>
            </w:r>
            <w:r>
              <w:rPr>
                <w:rStyle w:val="Style_4_ch"/>
                <w:sz w:val="24"/>
              </w:rPr>
              <w:t>-Бобровском водозаборах, в х</w:t>
            </w:r>
            <w:r>
              <w:rPr>
                <w:rStyle w:val="Style_4_ch"/>
                <w:sz w:val="24"/>
              </w:rPr>
              <w:t>уторе</w:t>
            </w:r>
            <w:r>
              <w:rPr>
                <w:rStyle w:val="Style_4_ch"/>
                <w:sz w:val="24"/>
              </w:rPr>
              <w:t xml:space="preserve"> Богураев и ст</w:t>
            </w:r>
            <w:r>
              <w:rPr>
                <w:rStyle w:val="Style_4_ch"/>
                <w:sz w:val="24"/>
              </w:rPr>
              <w:t>анице</w:t>
            </w:r>
            <w:r>
              <w:rPr>
                <w:rStyle w:val="Style_4_ch"/>
                <w:sz w:val="24"/>
              </w:rPr>
              <w:t xml:space="preserve"> Краснодонецкая. Выполнен капитальный ремонт насосных станций на Правобережном, Левобережном, Синегорском и Луговом водозаборах, в посёлках Горняцкий и Шолоховский. В г</w:t>
            </w:r>
            <w:r>
              <w:rPr>
                <w:rStyle w:val="Style_4_ch"/>
                <w:sz w:val="24"/>
              </w:rPr>
              <w:t>ороде</w:t>
            </w:r>
            <w:r>
              <w:rPr>
                <w:rStyle w:val="Style_4_ch"/>
                <w:sz w:val="24"/>
              </w:rPr>
              <w:t xml:space="preserve"> отремонтированы КНС-7 и КНС «Южная» с заменой насосного оборудования. 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60000">
            <w:pPr>
              <w:widowControl w:val="1"/>
              <w:spacing w:line="276" w:lineRule="auto"/>
              <w:ind w:left="4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C8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Задача 3.2.3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C9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газификации населенных пунктов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B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CC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Разработка схем газоснабжения сельских поселений Белокалитвинского района на перспективу до 2030 г.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60000">
            <w:pPr>
              <w:widowControl w:val="1"/>
              <w:tabs>
                <w:tab w:leader="none" w:pos="980" w:val="left"/>
              </w:tabs>
              <w:spacing w:line="240" w:lineRule="auto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D1060000">
            <w:pPr>
              <w:widowControl w:val="1"/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Разработаны схемы расположения объектов газоснабжения на территории Нижнепоповского сельского поселения  х. Верхнепопов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Развитие газовых сетей и увеличение числа газифицированных населенных пунктов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60000">
            <w:pPr>
              <w:widowControl w:val="1"/>
              <w:tabs>
                <w:tab w:leader="none" w:pos="980" w:val="left"/>
              </w:tabs>
              <w:spacing w:line="240" w:lineRule="auto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D6060000">
            <w:pPr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 xml:space="preserve">В рамках региональной программы газификации </w:t>
            </w:r>
            <w:r>
              <w:rPr>
                <w:rStyle w:val="Style_4_ch"/>
                <w:sz w:val="24"/>
              </w:rPr>
              <w:t xml:space="preserve">в прошлом году </w:t>
            </w:r>
            <w:r>
              <w:rPr>
                <w:rStyle w:val="Style_4_ch"/>
                <w:sz w:val="24"/>
              </w:rPr>
              <w:t xml:space="preserve">завершено строительство распределительных газопроводов </w:t>
            </w:r>
            <w:r>
              <w:rPr>
                <w:rStyle w:val="Style_4_ch"/>
                <w:sz w:val="24"/>
              </w:rPr>
              <w:t xml:space="preserve">в хуторах Раздолье и </w:t>
            </w:r>
            <w:r>
              <w:rPr>
                <w:rStyle w:val="Style_4_ch"/>
                <w:sz w:val="24"/>
              </w:rPr>
              <w:t>Анновка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rPr>
                <w:sz w:val="24"/>
              </w:rPr>
            </w:pPr>
            <w:r>
              <w:rPr>
                <w:sz w:val="24"/>
              </w:rPr>
              <w:t xml:space="preserve">Разработка и согласование проектно-сметной документации по газификации сельских поселений 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A060000">
            <w:pPr>
              <w:widowControl w:val="1"/>
              <w:tabs>
                <w:tab w:leader="none" w:pos="980" w:val="left"/>
              </w:tabs>
              <w:spacing w:line="240" w:lineRule="auto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Отдел строительства, промышленности, транспорта, связи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B060000">
            <w:pPr>
              <w:widowControl w:val="1"/>
              <w:spacing w:line="240" w:lineRule="auto"/>
              <w:ind w:firstLine="709"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 xml:space="preserve">По программе газификации регионов завершено проектирование межпоселкового газопровода от Тарасовского района к </w:t>
            </w:r>
            <w:r>
              <w:rPr>
                <w:rStyle w:val="Style_4_ch"/>
                <w:sz w:val="24"/>
              </w:rPr>
              <w:t xml:space="preserve">хутору </w:t>
            </w:r>
            <w:r>
              <w:rPr>
                <w:rStyle w:val="Style_4_ch"/>
                <w:sz w:val="24"/>
              </w:rPr>
              <w:t>Ильинка нашего района</w:t>
            </w:r>
            <w:r>
              <w:rPr>
                <w:rStyle w:val="Style_4_ch"/>
                <w:sz w:val="24"/>
              </w:rPr>
              <w:t>.</w:t>
            </w:r>
          </w:p>
          <w:p w14:paraId="DC060000">
            <w:pPr>
              <w:widowControl w:val="1"/>
              <w:tabs>
                <w:tab w:leader="none" w:pos="10065" w:val="left"/>
              </w:tabs>
              <w:spacing w:line="240" w:lineRule="auto"/>
              <w:ind w:firstLine="709"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 xml:space="preserve">Завершено проектирование и получено заключение на строительство межпоселкового газопровода к </w:t>
            </w:r>
            <w:r>
              <w:rPr>
                <w:rStyle w:val="Style_4_ch"/>
                <w:sz w:val="24"/>
              </w:rPr>
              <w:t>хутор</w:t>
            </w:r>
            <w:r>
              <w:rPr>
                <w:rStyle w:val="Style_4_ch"/>
                <w:sz w:val="24"/>
              </w:rPr>
              <w:t>ам</w:t>
            </w:r>
            <w:r>
              <w:rPr>
                <w:rStyle w:val="Style_4_ch"/>
                <w:sz w:val="24"/>
              </w:rPr>
              <w:t xml:space="preserve"> Поцелуев</w:t>
            </w:r>
            <w:r>
              <w:rPr>
                <w:rStyle w:val="Style_4_ch"/>
                <w:sz w:val="24"/>
              </w:rPr>
              <w:t xml:space="preserve"> и </w:t>
            </w:r>
            <w:r>
              <w:rPr>
                <w:rStyle w:val="Style_4_ch"/>
                <w:sz w:val="24"/>
              </w:rPr>
              <w:t>Дядин</w:t>
            </w:r>
            <w:r>
              <w:rPr>
                <w:rStyle w:val="Style_4_ch"/>
                <w:sz w:val="24"/>
              </w:rPr>
              <w:t xml:space="preserve"> с отводом на </w:t>
            </w:r>
            <w:r>
              <w:rPr>
                <w:rStyle w:val="Style_4_ch"/>
                <w:sz w:val="24"/>
              </w:rPr>
              <w:t xml:space="preserve">хутор </w:t>
            </w:r>
            <w:r>
              <w:rPr>
                <w:rStyle w:val="Style_4_ch"/>
                <w:sz w:val="24"/>
              </w:rPr>
              <w:t>Бородинов</w:t>
            </w:r>
            <w:r>
              <w:rPr>
                <w:rStyle w:val="Style_4_ch"/>
                <w:sz w:val="24"/>
              </w:rPr>
              <w:t>. Заключён договор с подрядчиком</w:t>
            </w:r>
            <w:r>
              <w:rPr>
                <w:rStyle w:val="Style_4_ch"/>
                <w:sz w:val="24"/>
              </w:rPr>
              <w:t>.</w:t>
            </w:r>
          </w:p>
          <w:p w14:paraId="DD060000">
            <w:pPr>
              <w:spacing w:line="240" w:lineRule="auto"/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 xml:space="preserve">Утверждены проектные и изыскательские работы по объекту: </w:t>
            </w:r>
            <w:r>
              <w:rPr>
                <w:rStyle w:val="Style_4_ch"/>
                <w:sz w:val="24"/>
              </w:rPr>
              <w:t>«Распределительный газопровод в х</w:t>
            </w:r>
            <w:r>
              <w:rPr>
                <w:rStyle w:val="Style_4_ch"/>
                <w:sz w:val="24"/>
              </w:rPr>
              <w:t>уторе</w:t>
            </w:r>
            <w:r>
              <w:rPr>
                <w:rStyle w:val="Style_4_ch"/>
                <w:sz w:val="24"/>
              </w:rPr>
              <w:t xml:space="preserve"> Дядин»</w:t>
            </w:r>
            <w:r>
              <w:rPr>
                <w:rStyle w:val="Style_4_ch"/>
                <w:sz w:val="24"/>
              </w:rPr>
              <w:t>. Получено положительное заключение экспертизы.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60000">
            <w:pPr>
              <w:widowControl w:val="1"/>
              <w:spacing w:line="276" w:lineRule="auto"/>
              <w:ind w:left="4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F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Задача 3.2.4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E0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Развитие электрификации и </w:t>
            </w:r>
            <w:r>
              <w:rPr>
                <w:b w:val="1"/>
                <w:sz w:val="24"/>
              </w:rPr>
              <w:t>техносферной</w:t>
            </w:r>
            <w:r>
              <w:rPr>
                <w:b w:val="1"/>
                <w:sz w:val="24"/>
              </w:rPr>
              <w:t xml:space="preserve"> безопасности населенных пунктов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E306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60000">
            <w:pPr>
              <w:widowControl w:val="1"/>
              <w:tabs>
                <w:tab w:leader="none" w:pos="993" w:val="left"/>
              </w:tabs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Развитие электрических сетей и повышение надежности электроснабжения населенных пунктов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7060000">
            <w:pPr>
              <w:widowControl w:val="1"/>
              <w:tabs>
                <w:tab w:leader="none" w:pos="980" w:val="left"/>
              </w:tabs>
              <w:spacing w:line="240" w:lineRule="auto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E8060000">
            <w:pPr>
              <w:ind/>
              <w:jc w:val="both"/>
              <w:rPr>
                <w:sz w:val="24"/>
              </w:rPr>
            </w:pPr>
            <w:r>
              <w:rPr>
                <w:rStyle w:val="Style_4_ch"/>
                <w:sz w:val="24"/>
              </w:rPr>
              <w:t>Филиалом ПАО «</w:t>
            </w:r>
            <w:r>
              <w:rPr>
                <w:rStyle w:val="Style_4_ch"/>
                <w:sz w:val="24"/>
              </w:rPr>
              <w:t>Россети</w:t>
            </w:r>
            <w:r>
              <w:rPr>
                <w:rStyle w:val="Style_4_ch"/>
                <w:sz w:val="24"/>
              </w:rPr>
              <w:t xml:space="preserve"> Юг»</w:t>
            </w:r>
            <w:r>
              <w:rPr>
                <w:rStyle w:val="Style_4_ch"/>
                <w:sz w:val="24"/>
              </w:rPr>
              <w:t xml:space="preserve"> на территории Грушево-Дубовского, Краснодонецкого, Литвиновского и </w:t>
            </w:r>
            <w:r>
              <w:rPr>
                <w:rStyle w:val="Style_4_ch"/>
                <w:sz w:val="24"/>
              </w:rPr>
              <w:t>Нижнепоповского</w:t>
            </w:r>
            <w:r>
              <w:rPr>
                <w:rStyle w:val="Style_4_ch"/>
                <w:sz w:val="24"/>
              </w:rPr>
              <w:t xml:space="preserve"> сельских поселений отремонтировано </w:t>
            </w:r>
            <w:r>
              <w:rPr>
                <w:rStyle w:val="Style_4_ch"/>
                <w:sz w:val="24"/>
              </w:rPr>
              <w:t>25 трансформаторных подстанций</w:t>
            </w:r>
            <w:r>
              <w:rPr>
                <w:rStyle w:val="Style_4_ch"/>
                <w:sz w:val="24"/>
              </w:rPr>
              <w:t xml:space="preserve">, заменено </w:t>
            </w:r>
            <w:r>
              <w:rPr>
                <w:rStyle w:val="Style_4_ch"/>
                <w:sz w:val="24"/>
              </w:rPr>
              <w:t>80 опор</w:t>
            </w:r>
            <w:r>
              <w:rPr>
                <w:rStyle w:val="Style_4_ch"/>
                <w:sz w:val="24"/>
              </w:rPr>
              <w:t xml:space="preserve"> линий электропередачи и около </w:t>
            </w:r>
            <w:r>
              <w:rPr>
                <w:rStyle w:val="Style_4_ch"/>
                <w:sz w:val="24"/>
              </w:rPr>
              <w:t>18 км</w:t>
            </w:r>
            <w:r>
              <w:rPr>
                <w:rStyle w:val="Style_4_ch"/>
                <w:sz w:val="24"/>
              </w:rPr>
              <w:t xml:space="preserve"> провода, </w:t>
            </w:r>
            <w:r>
              <w:rPr>
                <w:rStyle w:val="Style_4_ch"/>
                <w:sz w:val="24"/>
              </w:rPr>
              <w:t xml:space="preserve">в охранных зонах воздушных линий электропередачи выполнены работы по расчистке от древесно-кустарниковой растительности. </w:t>
            </w:r>
            <w:r>
              <w:rPr>
                <w:rStyle w:val="Style_4_ch"/>
                <w:sz w:val="24"/>
              </w:rPr>
              <w:t>Филиалом АО «</w:t>
            </w:r>
            <w:r>
              <w:rPr>
                <w:rStyle w:val="Style_4_ch"/>
                <w:sz w:val="24"/>
              </w:rPr>
              <w:t>Донэнерго</w:t>
            </w:r>
            <w:r>
              <w:rPr>
                <w:rStyle w:val="Style_4_ch"/>
                <w:sz w:val="24"/>
              </w:rPr>
              <w:t xml:space="preserve">» КМЭС </w:t>
            </w:r>
            <w:r>
              <w:rPr>
                <w:rStyle w:val="Style_4_ch"/>
                <w:sz w:val="24"/>
              </w:rPr>
              <w:t>заменено</w:t>
            </w:r>
            <w:r>
              <w:rPr>
                <w:rStyle w:val="Style_4_ch"/>
                <w:sz w:val="24"/>
              </w:rPr>
              <w:t xml:space="preserve"> 15 трансформаторных подстанций</w:t>
            </w:r>
            <w:r>
              <w:rPr>
                <w:rStyle w:val="Style_4_ch"/>
                <w:sz w:val="24"/>
              </w:rPr>
              <w:t xml:space="preserve"> и </w:t>
            </w:r>
            <w:r>
              <w:rPr>
                <w:rStyle w:val="Style_4_ch"/>
                <w:sz w:val="24"/>
              </w:rPr>
              <w:t xml:space="preserve">147 опор </w:t>
            </w:r>
            <w:r>
              <w:rPr>
                <w:rStyle w:val="Style_4_ch"/>
                <w:sz w:val="24"/>
              </w:rPr>
              <w:t xml:space="preserve">линий электропередачи, выполнено техническое обслуживание </w:t>
            </w:r>
            <w:r>
              <w:rPr>
                <w:rStyle w:val="Style_4_ch"/>
                <w:sz w:val="24"/>
              </w:rPr>
              <w:t>107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>трансформаторных подстанций</w:t>
            </w:r>
            <w:r>
              <w:rPr>
                <w:rStyle w:val="Style_4_ch"/>
                <w:sz w:val="24"/>
              </w:rPr>
              <w:t xml:space="preserve"> на территории Белокалитвинского городского поселения, Горняцкого, </w:t>
            </w:r>
            <w:r>
              <w:rPr>
                <w:rStyle w:val="Style_4_ch"/>
                <w:sz w:val="24"/>
              </w:rPr>
              <w:t>Коксовского</w:t>
            </w:r>
            <w:r>
              <w:rPr>
                <w:rStyle w:val="Style_4_ch"/>
                <w:sz w:val="24"/>
              </w:rPr>
              <w:t xml:space="preserve"> и Синегорского сельских поселений.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на территориях муниципальных образований противопожарной пропаганды и обучение населения мерам пожарной </w:t>
            </w:r>
            <w:r>
              <w:rPr>
                <w:sz w:val="24"/>
              </w:rPr>
              <w:t>безопасности с проведением сходов (встреч) с населением по разъяснению мер пожарной безопасности, с использованием возможностей средств массовой информации (телевидения, радио, печатных и Интернет-изданий) и официальных сайтов муниципальных образований в информационно-телекоммуникационной сети «Интернет»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B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C060000">
            <w:pPr>
              <w:widowControl w:val="1"/>
              <w:tabs>
                <w:tab w:leader="none" w:pos="980" w:val="left"/>
              </w:tabs>
              <w:spacing w:line="240" w:lineRule="auto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Администрации поселений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ED060000">
            <w:pPr>
              <w:widowControl w:val="1"/>
              <w:spacing w:line="240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информ</w:t>
            </w:r>
            <w:r>
              <w:rPr>
                <w:sz w:val="24"/>
              </w:rPr>
              <w:t xml:space="preserve">ационных </w:t>
            </w:r>
            <w:r>
              <w:rPr>
                <w:sz w:val="24"/>
              </w:rPr>
              <w:t xml:space="preserve">встреч с населением с </w:t>
            </w:r>
            <w:r>
              <w:rPr>
                <w:sz w:val="24"/>
              </w:rPr>
              <w:t>разъяснени</w:t>
            </w:r>
            <w:r>
              <w:rPr>
                <w:sz w:val="24"/>
              </w:rPr>
              <w:t>ем</w:t>
            </w:r>
            <w:r>
              <w:rPr>
                <w:sz w:val="24"/>
              </w:rPr>
              <w:t xml:space="preserve"> мер пожарной безопасности</w:t>
            </w:r>
          </w:p>
        </w:tc>
      </w:tr>
      <w:tr>
        <w:trPr>
          <w:trHeight w:hRule="atLeast" w:val="567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60000">
            <w:pPr>
              <w:keepNext w:val="1"/>
              <w:widowControl w:val="1"/>
              <w:spacing w:line="276" w:lineRule="auto"/>
              <w:ind w:left="4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60000">
            <w:pPr>
              <w:keepNext w:val="1"/>
              <w:widowControl w:val="1"/>
              <w:tabs>
                <w:tab w:leader="none" w:pos="993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3.3 ЭКОЛОГИЯ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60000">
            <w:pPr>
              <w:keepNext w:val="1"/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60000">
            <w:pPr>
              <w:keepNext w:val="1"/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F2060000">
            <w:pPr>
              <w:keepNext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4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Реализация муниципальной программы «Охрана окружающей среды и рациональное природопользование» на период 2019-2030 гг. с учетом достигнутых показателей предыдущего этапа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6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F706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реализация муниципальной программы, которая способствует </w:t>
            </w:r>
            <w:r>
              <w:rPr>
                <w:sz w:val="24"/>
              </w:rPr>
              <w:t>улучшению</w:t>
            </w:r>
            <w:r>
              <w:rPr>
                <w:sz w:val="24"/>
              </w:rPr>
              <w:t xml:space="preserve"> экологической ситуации в Белокалитвинском районе, формировани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 xml:space="preserve"> экологического мышления у жителей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6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906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реализации и корректировка плана мероприятий муниципальной программы на период 2019-2030 гг. с учетом достигнутых показателей предыдущего этапа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6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B06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FC060000">
            <w:pPr>
              <w:widowControl w:val="1"/>
              <w:spacing w:line="240" w:lineRule="auto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В течение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года осуществлялась   корректировка показателей и объемов финансирования мероприятий</w:t>
            </w: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60000">
            <w:pPr>
              <w:widowControl w:val="1"/>
              <w:spacing w:line="276" w:lineRule="auto"/>
              <w:ind w:left="4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E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3.3.1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 xml:space="preserve">(приоритетное направление): </w:t>
            </w:r>
          </w:p>
          <w:p w14:paraId="FF06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Сокращение несанкционированных сбросов и сбросов с превышением норматива </w:t>
            </w:r>
            <w:r>
              <w:rPr>
                <w:b w:val="1"/>
                <w:sz w:val="24"/>
              </w:rPr>
              <w:t>допустимого воздействия на водные объекты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0070000">
            <w:pPr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1070000">
            <w:pPr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207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3070000">
            <w:pPr>
              <w:widowControl w:val="1"/>
              <w:numPr>
                <w:ilvl w:val="0"/>
                <w:numId w:val="3"/>
              </w:numPr>
              <w:ind w:left="4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407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в области охраны и использования водных объектов, подлежащих региональному государственному экологическому надзору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7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7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сельского хозяйства, продовольствия и защиты окружающей среды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  <w:vAlign w:val="center"/>
          </w:tcPr>
          <w:p w14:paraId="0707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мониторинга для своевременного</w:t>
            </w:r>
            <w:r>
              <w:rPr>
                <w:sz w:val="24"/>
              </w:rPr>
              <w:t xml:space="preserve"> выявлени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 xml:space="preserve"> экологических угроз</w:t>
            </w:r>
          </w:p>
        </w:tc>
      </w:tr>
      <w:tr>
        <w:trPr>
          <w:trHeight w:hRule="atLeast" w:val="552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70000">
            <w:pPr>
              <w:keepNext w:val="1"/>
              <w:widowControl w:val="1"/>
              <w:spacing w:line="276" w:lineRule="auto"/>
              <w:ind w:left="4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70000">
            <w:pPr>
              <w:keepNext w:val="1"/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3.4 </w:t>
            </w:r>
            <w:r>
              <w:rPr>
                <w:b w:val="1"/>
                <w:color w:val="000000"/>
                <w:sz w:val="24"/>
              </w:rPr>
              <w:t xml:space="preserve">СИСТЕМА РАССЕЛЕНИЯ </w:t>
            </w:r>
            <w:r>
              <w:rPr>
                <w:b w:val="1"/>
                <w:color w:val="000000"/>
                <w:sz w:val="24"/>
              </w:rPr>
              <w:br/>
            </w:r>
            <w:r>
              <w:rPr>
                <w:b w:val="1"/>
                <w:color w:val="000000"/>
                <w:sz w:val="24"/>
              </w:rPr>
              <w:t xml:space="preserve">И РАЗВИТИЕ БЕЛОКАЛИТВИНСКОГО РАЙОНА </w:t>
            </w:r>
            <w:r>
              <w:rPr>
                <w:b w:val="1"/>
                <w:color w:val="000000"/>
                <w:sz w:val="24"/>
              </w:rPr>
              <w:br/>
            </w:r>
            <w:r>
              <w:rPr>
                <w:b w:val="1"/>
                <w:color w:val="000000"/>
                <w:sz w:val="24"/>
              </w:rPr>
              <w:t>В СИСТЕМЕ ВОСТОЧНО-ДОНБАССКОГО ПОЛЮСА РОСТА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70000">
            <w:pPr>
              <w:keepNext w:val="1"/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B070000">
            <w:pPr>
              <w:keepNext w:val="1"/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0C07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D070000">
            <w:pPr>
              <w:widowControl w:val="1"/>
              <w:spacing w:line="276" w:lineRule="auto"/>
              <w:ind w:left="4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7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3.4.1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0F070000">
            <w:pPr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Рост качества и повышение комфортности городской среды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70000">
            <w:pPr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1070000">
            <w:pPr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12070000">
            <w:pPr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3070000">
            <w:pPr>
              <w:widowControl w:val="1"/>
              <w:numPr>
                <w:ilvl w:val="0"/>
                <w:numId w:val="3"/>
              </w:numPr>
              <w:ind w:left="4" w:right="113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7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механизма прямого участия граждан в формировании комфортной городской среды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7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7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7070000">
            <w:pPr>
              <w:widowControl w:val="1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Развитие ТОС и инициативного бюджетирования</w:t>
            </w:r>
          </w:p>
        </w:tc>
      </w:tr>
      <w:tr>
        <w:trPr>
          <w:trHeight w:hRule="atLeast" w:val="552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70000">
            <w:pPr>
              <w:widowControl w:val="1"/>
              <w:numPr>
                <w:ilvl w:val="0"/>
                <w:numId w:val="3"/>
              </w:numPr>
              <w:ind w:hanging="283" w:left="-28" w:right="113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7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 дворовых территорий многоквартирных домов и мест массового отдыха населения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7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7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Отдел жилищно-коммунального хозяйства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C07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территории района в 2025 году </w:t>
            </w:r>
            <w:r>
              <w:rPr>
                <w:rStyle w:val="Style_4_ch"/>
                <w:sz w:val="24"/>
              </w:rPr>
              <w:t xml:space="preserve">благоустроены </w:t>
            </w:r>
            <w:r>
              <w:rPr>
                <w:rStyle w:val="Style_4_ch"/>
                <w:sz w:val="24"/>
              </w:rPr>
              <w:t>две общественные территории</w:t>
            </w:r>
            <w:r>
              <w:rPr>
                <w:rStyle w:val="Style_4_ch"/>
                <w:sz w:val="24"/>
              </w:rPr>
              <w:t xml:space="preserve">. В городе – </w:t>
            </w:r>
            <w:r>
              <w:rPr>
                <w:rStyle w:val="Style_4_ch"/>
                <w:sz w:val="24"/>
              </w:rPr>
              <w:t xml:space="preserve">сквер </w:t>
            </w:r>
            <w:r>
              <w:rPr>
                <w:rStyle w:val="Style_4_ch"/>
                <w:sz w:val="24"/>
              </w:rPr>
              <w:t>«Молодежный»</w:t>
            </w:r>
            <w:r>
              <w:rPr>
                <w:rStyle w:val="Style_4_ch"/>
                <w:sz w:val="24"/>
              </w:rPr>
              <w:t xml:space="preserve"> </w:t>
            </w:r>
            <w:r>
              <w:rPr>
                <w:rStyle w:val="Style_4_ch"/>
                <w:sz w:val="24"/>
              </w:rPr>
              <w:t xml:space="preserve"> и </w:t>
            </w:r>
            <w:r>
              <w:rPr>
                <w:rStyle w:val="Style_4_ch"/>
                <w:sz w:val="24"/>
              </w:rPr>
              <w:t>прилегающая территория к Дому культуры в хуторе Ильинка</w:t>
            </w:r>
          </w:p>
        </w:tc>
      </w:tr>
      <w:tr>
        <w:trPr>
          <w:trHeight w:hRule="atLeast" w:val="552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70000">
            <w:pPr>
              <w:keepNext w:val="1"/>
              <w:widowControl w:val="1"/>
              <w:spacing w:line="276" w:lineRule="auto"/>
              <w:ind w:left="4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70000">
            <w:pPr>
              <w:keepNext w:val="1"/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3.4.2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1F070000">
            <w:pPr>
              <w:keepNext w:val="1"/>
              <w:widowControl w:val="1"/>
              <w:tabs>
                <w:tab w:leader="none" w:pos="993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Формирование благоприятного инвестиционного климата муниципального образования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70000">
            <w:pPr>
              <w:keepNext w:val="1"/>
              <w:widowControl w:val="1"/>
              <w:tabs>
                <w:tab w:leader="none" w:pos="1001" w:val="left"/>
              </w:tabs>
              <w:spacing w:line="276" w:lineRule="auto"/>
              <w:ind w:hanging="15"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21070000">
            <w:pPr>
              <w:keepNext w:val="1"/>
              <w:widowControl w:val="1"/>
              <w:tabs>
                <w:tab w:leader="none" w:pos="980" w:val="left"/>
              </w:tabs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22070000">
            <w:pPr>
              <w:keepNext w:val="1"/>
              <w:widowControl w:val="1"/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70000">
            <w:pPr>
              <w:widowControl w:val="1"/>
              <w:numPr>
                <w:ilvl w:val="0"/>
                <w:numId w:val="3"/>
              </w:numPr>
              <w:ind w:left="4" w:right="-33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7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Создание системы прогнозирования потребности в кадрах и информирования населения, организация подготовки кадров под конкретные рабочие места по заявкам работодателей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7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2607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вопросам;</w:t>
            </w:r>
          </w:p>
          <w:p w14:paraId="2707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ГКУ РО «ЦЗН г.Белая Калитва»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807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 2025</w:t>
            </w:r>
            <w:r>
              <w:rPr>
                <w:sz w:val="24"/>
              </w:rPr>
              <w:t xml:space="preserve"> год содействие в трудоустройстве было оказано 822</w:t>
            </w:r>
            <w:r>
              <w:rPr>
                <w:sz w:val="24"/>
              </w:rPr>
              <w:t xml:space="preserve"> гражданам.</w:t>
            </w:r>
          </w:p>
          <w:p w14:paraId="2907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состоянию на </w:t>
            </w:r>
            <w:r>
              <w:rPr>
                <w:sz w:val="24"/>
              </w:rPr>
              <w:t>01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>
              <w:rPr>
                <w:sz w:val="24"/>
              </w:rPr>
              <w:t>.2026</w:t>
            </w:r>
            <w:r>
              <w:rPr>
                <w:sz w:val="24"/>
              </w:rPr>
              <w:t xml:space="preserve"> года уровень регистрируемой безработицы составил 0,3</w:t>
            </w:r>
            <w:r>
              <w:rPr>
                <w:sz w:val="24"/>
              </w:rPr>
              <w:t xml:space="preserve"> % от численности </w:t>
            </w:r>
            <w:r>
              <w:rPr>
                <w:sz w:val="24"/>
              </w:rPr>
              <w:t>экономически активного населения</w:t>
            </w:r>
            <w:r>
              <w:rPr>
                <w:sz w:val="24"/>
              </w:rPr>
              <w:t xml:space="preserve">. </w:t>
            </w:r>
          </w:p>
          <w:p w14:paraId="2A07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Трудоустроено </w:t>
            </w:r>
            <w:r>
              <w:rPr>
                <w:sz w:val="24"/>
              </w:rPr>
              <w:t>432</w:t>
            </w:r>
            <w:r>
              <w:rPr>
                <w:sz w:val="24"/>
              </w:rPr>
              <w:t xml:space="preserve"> человек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, или </w:t>
            </w:r>
            <w:r>
              <w:rPr>
                <w:sz w:val="24"/>
              </w:rPr>
              <w:t>52,6</w:t>
            </w:r>
            <w:r>
              <w:rPr>
                <w:sz w:val="24"/>
              </w:rPr>
              <w:t xml:space="preserve"> % от количества обратившихся в поиске подходящей работы граждан. Направлено на </w:t>
            </w:r>
            <w:r>
              <w:rPr>
                <w:sz w:val="24"/>
              </w:rPr>
              <w:t>профобучение</w:t>
            </w:r>
            <w:r>
              <w:rPr>
                <w:sz w:val="24"/>
              </w:rPr>
              <w:t xml:space="preserve"> или </w:t>
            </w:r>
            <w:r>
              <w:rPr>
                <w:sz w:val="24"/>
              </w:rPr>
              <w:t>допобразование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безработных граждан.</w:t>
            </w:r>
          </w:p>
        </w:tc>
      </w:tr>
      <w:tr>
        <w:trPr>
          <w:trHeight w:hRule="atLeast" w:val="552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70000">
            <w:pPr>
              <w:keepNext w:val="1"/>
              <w:widowControl w:val="1"/>
              <w:spacing w:line="216" w:lineRule="auto"/>
              <w:ind w:left="4"/>
              <w:jc w:val="center"/>
              <w:rPr>
                <w:b w:val="1"/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70000">
            <w:pPr>
              <w:keepNext w:val="1"/>
              <w:widowControl w:val="1"/>
              <w:tabs>
                <w:tab w:leader="none" w:pos="993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Задача 3.4.3 </w:t>
            </w:r>
            <w:r>
              <w:rPr>
                <w:b w:val="1"/>
                <w:sz w:val="24"/>
              </w:rPr>
              <w:br/>
            </w:r>
            <w:r>
              <w:rPr>
                <w:b w:val="1"/>
                <w:sz w:val="24"/>
              </w:rPr>
              <w:t>(приоритетное направление):</w:t>
            </w:r>
          </w:p>
          <w:p w14:paraId="2D070000">
            <w:pPr>
              <w:keepNext w:val="1"/>
              <w:widowControl w:val="1"/>
              <w:tabs>
                <w:tab w:leader="none" w:pos="993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Развитие механизмов повышения уровня доходов населения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70000">
            <w:pPr>
              <w:keepNext w:val="1"/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2F070000">
            <w:pPr>
              <w:keepNext w:val="1"/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left w:type="dxa" w:w="57"/>
              <w:right w:type="dxa" w:w="57"/>
            </w:tcMar>
          </w:tcPr>
          <w:p w14:paraId="30070000">
            <w:pPr>
              <w:keepNext w:val="1"/>
              <w:widowControl w:val="1"/>
              <w:spacing w:line="240" w:lineRule="auto"/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828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70000">
            <w:pPr>
              <w:widowControl w:val="1"/>
              <w:numPr>
                <w:ilvl w:val="0"/>
                <w:numId w:val="3"/>
              </w:numPr>
              <w:ind w:left="4" w:right="-33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7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Мониторинг уровня заработных плат на действующих предприятиях в муниципальном образовании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7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3407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</w:p>
          <w:p w14:paraId="3507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Сектор по социальным вопросам</w:t>
            </w:r>
            <w:r>
              <w:rPr>
                <w:color w:val="000000"/>
                <w:sz w:val="24"/>
                <w:highlight w:val="white"/>
              </w:rPr>
              <w:t xml:space="preserve"> 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607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Сбор оперативной информации от предприятий района</w:t>
            </w:r>
          </w:p>
        </w:tc>
      </w:tr>
      <w:tr>
        <w:trPr>
          <w:trHeight w:hRule="atLeast" w:val="552"/>
        </w:trPr>
        <w:tc>
          <w:tcPr>
            <w:tcW w:type="dxa" w:w="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70000">
            <w:pPr>
              <w:widowControl w:val="1"/>
              <w:numPr>
                <w:ilvl w:val="0"/>
                <w:numId w:val="3"/>
              </w:numPr>
              <w:ind w:hanging="346" w:left="-36" w:right="-330"/>
              <w:contextualSpacing w:val="1"/>
              <w:jc w:val="center"/>
              <w:rPr>
                <w:sz w:val="24"/>
              </w:rPr>
            </w:pPr>
          </w:p>
        </w:tc>
        <w:tc>
          <w:tcPr>
            <w:tcW w:type="dxa" w:w="5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70000">
            <w:pPr>
              <w:widowControl w:val="1"/>
              <w:tabs>
                <w:tab w:leader="none" w:pos="993" w:val="left"/>
              </w:tabs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Повышение квалификации работников, в том числе, на основе коротких, адаптированных практико-ориентированных программ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70000">
            <w:pPr>
              <w:widowControl w:val="1"/>
              <w:tabs>
                <w:tab w:leader="none" w:pos="1001" w:val="left"/>
              </w:tabs>
              <w:spacing w:line="240" w:lineRule="auto"/>
              <w:ind w:hanging="15"/>
              <w:jc w:val="center"/>
              <w:rPr>
                <w:sz w:val="24"/>
              </w:rPr>
            </w:pPr>
            <w:r>
              <w:rPr>
                <w:sz w:val="24"/>
              </w:rPr>
              <w:t>2019-2030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3A07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Сектор по социальным вопросам;</w:t>
            </w:r>
          </w:p>
          <w:p w14:paraId="3B070000">
            <w:pPr>
              <w:widowControl w:val="1"/>
              <w:tabs>
                <w:tab w:leader="none" w:pos="980" w:val="left"/>
              </w:tabs>
              <w:spacing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ГКУ РО «ЦЗН г.Белая Калитва»</w:t>
            </w:r>
          </w:p>
        </w:tc>
        <w:tc>
          <w:tcPr>
            <w:tcW w:type="dxa" w:w="4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C070000">
            <w:pPr>
              <w:widowControl w:val="1"/>
              <w:spacing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 содействии центра занятости нашли работу 43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человека. Направлено на </w:t>
            </w:r>
            <w:r>
              <w:rPr>
                <w:sz w:val="24"/>
              </w:rPr>
              <w:t>профобучение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z w:val="24"/>
              </w:rPr>
              <w:t>допобразование</w:t>
            </w:r>
            <w:r>
              <w:rPr>
                <w:sz w:val="24"/>
              </w:rPr>
              <w:t xml:space="preserve"> 25 безработных гражданина.</w:t>
            </w:r>
          </w:p>
        </w:tc>
      </w:tr>
    </w:tbl>
    <w:p w14:paraId="3D070000"/>
    <w:sectPr>
      <w:footerReference r:id="rId1" w:type="default"/>
      <w:pgSz w:h="11906" w:orient="landscape" w:w="16838"/>
      <w:pgMar w:bottom="850" w:footer="708" w:gutter="0" w:header="708" w:left="993" w:right="1134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righ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360" w:left="502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widowControl w:val="1"/>
        <w:ind w:hanging="360" w:left="502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default="1" w:styleId="Style_4_ch" w:type="character">
    <w:name w:val="Normal"/>
    <w:link w:val="Style_4"/>
    <w:rPr>
      <w:rFonts w:ascii="Times New Roman" w:hAnsi="Times New Roman"/>
      <w:sz w:val="20"/>
    </w:rPr>
  </w:style>
  <w:style w:styleId="Style_5" w:type="paragraph">
    <w:name w:val="toc 2"/>
    <w:basedOn w:val="Style_4"/>
    <w:next w:val="Style_4"/>
    <w:link w:val="Style_5_ch"/>
    <w:uiPriority w:val="39"/>
    <w:pPr>
      <w:widowControl w:val="1"/>
      <w:tabs>
        <w:tab w:leader="dot" w:pos="9345" w:val="right"/>
      </w:tabs>
      <w:spacing w:after="100" w:line="276" w:lineRule="auto"/>
      <w:ind/>
      <w:jc w:val="both"/>
    </w:pPr>
    <w:rPr>
      <w:sz w:val="28"/>
    </w:rPr>
  </w:style>
  <w:style w:styleId="Style_5_ch" w:type="character">
    <w:name w:val="toc 2"/>
    <w:basedOn w:val="Style_4_ch"/>
    <w:link w:val="Style_5"/>
    <w:rPr>
      <w:sz w:val="28"/>
    </w:rPr>
  </w:style>
  <w:style w:styleId="Style_6" w:type="paragraph">
    <w:name w:val="Подзаголовок1"/>
    <w:basedOn w:val="Style_4"/>
    <w:next w:val="Style_4"/>
    <w:link w:val="Style_6_ch"/>
    <w:pPr>
      <w:widowControl w:val="1"/>
      <w:numPr>
        <w:ilvl w:val="1"/>
      </w:numPr>
      <w:spacing w:line="276" w:lineRule="auto"/>
      <w:ind w:firstLine="709"/>
      <w:jc w:val="both"/>
    </w:pPr>
    <w:rPr>
      <w:rFonts w:ascii="Cambria" w:hAnsi="Cambria"/>
      <w:i w:val="1"/>
      <w:color w:val="4F81BD"/>
      <w:spacing w:val="15"/>
      <w:sz w:val="24"/>
    </w:rPr>
  </w:style>
  <w:style w:styleId="Style_6_ch" w:type="character">
    <w:name w:val="Подзаголовок1"/>
    <w:basedOn w:val="Style_4_ch"/>
    <w:link w:val="Style_6"/>
    <w:rPr>
      <w:rFonts w:ascii="Cambria" w:hAnsi="Cambria"/>
      <w:i w:val="1"/>
      <w:color w:val="4F81BD"/>
      <w:spacing w:val="15"/>
      <w:sz w:val="24"/>
    </w:rPr>
  </w:style>
  <w:style w:styleId="Style_7" w:type="paragraph">
    <w:name w:val="No Spacing"/>
    <w:link w:val="Style_7_ch"/>
    <w:pPr>
      <w:widowControl w:val="1"/>
      <w:spacing w:after="0" w:line="240" w:lineRule="auto"/>
      <w:ind/>
    </w:pPr>
  </w:style>
  <w:style w:styleId="Style_7_ch" w:type="character">
    <w:name w:val="No Spacing"/>
    <w:link w:val="Style_7"/>
  </w:style>
  <w:style w:styleId="Style_8" w:type="paragraph">
    <w:name w:val="Body Text Indent 3"/>
    <w:basedOn w:val="Style_4"/>
    <w:link w:val="Style_8_ch"/>
    <w:pPr>
      <w:widowControl w:val="1"/>
      <w:spacing w:after="120" w:line="276" w:lineRule="auto"/>
      <w:ind w:left="283"/>
    </w:pPr>
    <w:rPr>
      <w:rFonts w:ascii="Calibri" w:hAnsi="Calibri"/>
      <w:sz w:val="16"/>
    </w:rPr>
  </w:style>
  <w:style w:styleId="Style_8_ch" w:type="character">
    <w:name w:val="Body Text Indent 3"/>
    <w:basedOn w:val="Style_4_ch"/>
    <w:link w:val="Style_8"/>
    <w:rPr>
      <w:rFonts w:ascii="Calibri" w:hAnsi="Calibri"/>
      <w:sz w:val="16"/>
    </w:rPr>
  </w:style>
  <w:style w:styleId="Style_9" w:type="paragraph">
    <w:name w:val="toc 4"/>
    <w:next w:val="Style_4"/>
    <w:link w:val="Style_9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4"/>
    <w:next w:val="Style_4"/>
    <w:link w:val="Style_10_ch"/>
    <w:uiPriority w:val="9"/>
    <w:qFormat/>
    <w:pPr>
      <w:keepNext w:val="1"/>
      <w:keepLines w:val="1"/>
      <w:widowControl w:val="1"/>
      <w:spacing w:before="40"/>
      <w:ind/>
      <w:outlineLvl w:val="6"/>
    </w:pPr>
    <w:rPr>
      <w:b w:val="1"/>
      <w:color w:val="000000"/>
      <w:sz w:val="28"/>
    </w:rPr>
  </w:style>
  <w:style w:styleId="Style_10_ch" w:type="character">
    <w:name w:val="heading 7"/>
    <w:basedOn w:val="Style_4_ch"/>
    <w:link w:val="Style_10"/>
    <w:rPr>
      <w:b w:val="1"/>
      <w:color w:val="000000"/>
      <w:sz w:val="28"/>
    </w:rPr>
  </w:style>
  <w:style w:styleId="Style_11" w:type="paragraph">
    <w:name w:val="toc 6"/>
    <w:next w:val="Style_4"/>
    <w:link w:val="Style_11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nobr"/>
    <w:basedOn w:val="Style_13"/>
    <w:link w:val="Style_12_ch"/>
  </w:style>
  <w:style w:styleId="Style_12_ch" w:type="character">
    <w:name w:val="nobr"/>
    <w:basedOn w:val="Style_13_ch"/>
    <w:link w:val="Style_12"/>
  </w:style>
  <w:style w:styleId="Style_14" w:type="paragraph">
    <w:name w:val="Заголовок 31"/>
    <w:basedOn w:val="Style_4"/>
    <w:next w:val="Style_4"/>
    <w:link w:val="Style_14_ch"/>
    <w:pPr>
      <w:keepNext w:val="1"/>
      <w:keepLines w:val="1"/>
      <w:widowControl w:val="1"/>
      <w:spacing w:after="120" w:before="360" w:line="276" w:lineRule="auto"/>
      <w:ind w:firstLine="709"/>
      <w:jc w:val="both"/>
      <w:outlineLvl w:val="2"/>
    </w:pPr>
    <w:rPr>
      <w:b w:val="1"/>
      <w:sz w:val="28"/>
    </w:rPr>
  </w:style>
  <w:style w:styleId="Style_14_ch" w:type="character">
    <w:name w:val="Заголовок 31"/>
    <w:basedOn w:val="Style_4_ch"/>
    <w:link w:val="Style_14"/>
    <w:rPr>
      <w:b w:val="1"/>
      <w:sz w:val="28"/>
    </w:rPr>
  </w:style>
  <w:style w:styleId="Style_15" w:type="paragraph">
    <w:name w:val="toc 7"/>
    <w:next w:val="Style_4"/>
    <w:link w:val="Style_1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Strong"/>
    <w:basedOn w:val="Style_13"/>
    <w:link w:val="Style_16_ch"/>
    <w:rPr>
      <w:b w:val="1"/>
    </w:rPr>
  </w:style>
  <w:style w:styleId="Style_16_ch" w:type="character">
    <w:name w:val="Strong"/>
    <w:basedOn w:val="Style_13_ch"/>
    <w:link w:val="Style_16"/>
    <w:rPr>
      <w:b w:val="1"/>
    </w:rPr>
  </w:style>
  <w:style w:styleId="Style_17" w:type="paragraph">
    <w:name w:val="End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basedOn w:val="Style_4"/>
    <w:next w:val="Style_4"/>
    <w:link w:val="Style_18_ch"/>
    <w:uiPriority w:val="9"/>
    <w:qFormat/>
    <w:pPr>
      <w:keepNext w:val="1"/>
      <w:keepLines w:val="1"/>
      <w:widowControl w:val="1"/>
      <w:spacing w:before="40"/>
      <w:ind/>
      <w:outlineLvl w:val="2"/>
    </w:pPr>
    <w:rPr>
      <w:b w:val="1"/>
      <w:sz w:val="28"/>
    </w:rPr>
  </w:style>
  <w:style w:styleId="Style_18_ch" w:type="character">
    <w:name w:val="heading 3"/>
    <w:basedOn w:val="Style_4_ch"/>
    <w:link w:val="Style_18"/>
    <w:rPr>
      <w:b w:val="1"/>
      <w:sz w:val="28"/>
    </w:rPr>
  </w:style>
  <w:style w:styleId="Style_19" w:type="paragraph">
    <w:name w:val="Цитата 2 Знак1"/>
    <w:basedOn w:val="Style_13"/>
    <w:link w:val="Style_19_ch"/>
    <w:rPr>
      <w:i w:val="1"/>
      <w:color w:themeColor="text1" w:themeTint="BF" w:val="404040"/>
    </w:rPr>
  </w:style>
  <w:style w:styleId="Style_19_ch" w:type="character">
    <w:name w:val="Цитата 2 Знак1"/>
    <w:basedOn w:val="Style_13_ch"/>
    <w:link w:val="Style_19"/>
    <w:rPr>
      <w:i w:val="1"/>
      <w:color w:themeColor="text1" w:themeTint="BF" w:val="404040"/>
    </w:rPr>
  </w:style>
  <w:style w:styleId="Style_20" w:type="paragraph">
    <w:name w:val="Основной шрифт абзаца1"/>
    <w:link w:val="Style_20_ch"/>
  </w:style>
  <w:style w:styleId="Style_20_ch" w:type="character">
    <w:name w:val="Основной шрифт абзаца1"/>
    <w:link w:val="Style_20"/>
  </w:style>
  <w:style w:styleId="Style_21" w:type="paragraph">
    <w:name w:val="Название объекта1"/>
    <w:basedOn w:val="Style_4"/>
    <w:next w:val="Style_4"/>
    <w:link w:val="Style_21_ch"/>
    <w:pPr>
      <w:widowControl w:val="1"/>
      <w:ind w:firstLine="709"/>
      <w:jc w:val="both"/>
    </w:pPr>
    <w:rPr>
      <w:b w:val="1"/>
      <w:color w:val="4F81BD"/>
      <w:sz w:val="18"/>
    </w:rPr>
  </w:style>
  <w:style w:styleId="Style_21_ch" w:type="character">
    <w:name w:val="Название объекта1"/>
    <w:basedOn w:val="Style_4_ch"/>
    <w:link w:val="Style_21"/>
    <w:rPr>
      <w:b w:val="1"/>
      <w:color w:val="4F81BD"/>
      <w:sz w:val="18"/>
    </w:rPr>
  </w:style>
  <w:style w:styleId="Style_22" w:type="paragraph">
    <w:name w:val="Гипертекстовая ссылка"/>
    <w:basedOn w:val="Style_23"/>
    <w:link w:val="Style_22_ch"/>
    <w:rPr>
      <w:b w:val="0"/>
      <w:color w:val="106BBE"/>
    </w:rPr>
  </w:style>
  <w:style w:styleId="Style_22_ch" w:type="character">
    <w:name w:val="Гипертекстовая ссылка"/>
    <w:basedOn w:val="Style_23_ch"/>
    <w:link w:val="Style_22"/>
    <w:rPr>
      <w:b w:val="0"/>
      <w:color w:val="106BBE"/>
    </w:rPr>
  </w:style>
  <w:style w:styleId="Style_24" w:type="paragraph">
    <w:name w:val="Заголовок 2 Знак1"/>
    <w:basedOn w:val="Style_13"/>
    <w:link w:val="Style_24_ch"/>
    <w:rPr>
      <w:rFonts w:asciiTheme="majorAscii" w:hAnsiTheme="majorHAnsi"/>
      <w:color w:themeColor="accent1" w:themeShade="BF" w:val="2E75B5"/>
      <w:sz w:val="26"/>
    </w:rPr>
  </w:style>
  <w:style w:styleId="Style_24_ch" w:type="character">
    <w:name w:val="Заголовок 2 Знак1"/>
    <w:basedOn w:val="Style_13_ch"/>
    <w:link w:val="Style_24"/>
    <w:rPr>
      <w:rFonts w:asciiTheme="majorAscii" w:hAnsiTheme="majorHAnsi"/>
      <w:color w:themeColor="accent1" w:themeShade="BF" w:val="2E75B5"/>
      <w:sz w:val="26"/>
    </w:rPr>
  </w:style>
  <w:style w:styleId="Style_25" w:type="paragraph">
    <w:name w:val="footnote reference"/>
    <w:basedOn w:val="Style_13"/>
    <w:link w:val="Style_25_ch"/>
    <w:rPr>
      <w:vertAlign w:val="superscript"/>
    </w:rPr>
  </w:style>
  <w:style w:styleId="Style_25_ch" w:type="character">
    <w:name w:val="footnote reference"/>
    <w:basedOn w:val="Style_13_ch"/>
    <w:link w:val="Style_25"/>
    <w:rPr>
      <w:vertAlign w:val="superscript"/>
    </w:rPr>
  </w:style>
  <w:style w:styleId="Style_26" w:type="paragraph">
    <w:name w:val="heading 9"/>
    <w:basedOn w:val="Style_4"/>
    <w:next w:val="Style_4"/>
    <w:link w:val="Style_26_ch"/>
    <w:uiPriority w:val="9"/>
    <w:qFormat/>
    <w:pPr>
      <w:keepNext w:val="1"/>
      <w:keepLines w:val="1"/>
      <w:widowControl w:val="1"/>
      <w:spacing w:before="40"/>
      <w:ind/>
      <w:outlineLvl w:val="8"/>
    </w:pPr>
    <w:rPr>
      <w:rFonts w:ascii="Cambria" w:hAnsi="Cambria"/>
      <w:i w:val="1"/>
      <w:color w:val="404040"/>
    </w:rPr>
  </w:style>
  <w:style w:styleId="Style_26_ch" w:type="character">
    <w:name w:val="heading 9"/>
    <w:basedOn w:val="Style_4_ch"/>
    <w:link w:val="Style_26"/>
    <w:rPr>
      <w:rFonts w:ascii="Cambria" w:hAnsi="Cambria"/>
      <w:i w:val="1"/>
      <w:color w:val="404040"/>
    </w:rPr>
  </w:style>
  <w:style w:styleId="Style_27" w:type="paragraph">
    <w:name w:val="Сильная ссылка1"/>
    <w:basedOn w:val="Style_13"/>
    <w:link w:val="Style_27_ch"/>
    <w:rPr>
      <w:b w:val="1"/>
      <w:smallCaps w:val="1"/>
      <w:color w:val="C0504D"/>
      <w:spacing w:val="5"/>
      <w:u w:val="single"/>
    </w:rPr>
  </w:style>
  <w:style w:styleId="Style_27_ch" w:type="character">
    <w:name w:val="Сильная ссылка1"/>
    <w:basedOn w:val="Style_13_ch"/>
    <w:link w:val="Style_27"/>
    <w:rPr>
      <w:b w:val="1"/>
      <w:smallCaps w:val="1"/>
      <w:color w:val="C0504D"/>
      <w:spacing w:val="5"/>
      <w:u w:val="single"/>
    </w:rPr>
  </w:style>
  <w:style w:styleId="Style_28" w:type="paragraph">
    <w:name w:val="Заголовок Знак1"/>
    <w:basedOn w:val="Style_13"/>
    <w:link w:val="Style_28_ch"/>
    <w:rPr>
      <w:rFonts w:asciiTheme="majorAscii" w:hAnsiTheme="majorHAnsi"/>
      <w:spacing w:val="-10"/>
      <w:sz w:val="56"/>
    </w:rPr>
  </w:style>
  <w:style w:styleId="Style_28_ch" w:type="character">
    <w:name w:val="Заголовок Знак1"/>
    <w:basedOn w:val="Style_13_ch"/>
    <w:link w:val="Style_28"/>
    <w:rPr>
      <w:rFonts w:asciiTheme="majorAscii" w:hAnsiTheme="majorHAnsi"/>
      <w:spacing w:val="-10"/>
      <w:sz w:val="56"/>
    </w:rPr>
  </w:style>
  <w:style w:styleId="Style_29" w:type="paragraph">
    <w:name w:val="List Paragraph"/>
    <w:basedOn w:val="Style_4"/>
    <w:link w:val="Style_29_ch"/>
    <w:pPr>
      <w:widowControl w:val="1"/>
      <w:spacing w:line="276" w:lineRule="auto"/>
      <w:ind w:left="720"/>
      <w:contextualSpacing w:val="1"/>
      <w:jc w:val="both"/>
    </w:pPr>
    <w:rPr>
      <w:sz w:val="28"/>
    </w:rPr>
  </w:style>
  <w:style w:styleId="Style_29_ch" w:type="character">
    <w:name w:val="List Paragraph"/>
    <w:basedOn w:val="Style_4_ch"/>
    <w:link w:val="Style_29"/>
    <w:rPr>
      <w:sz w:val="28"/>
    </w:rPr>
  </w:style>
  <w:style w:styleId="Style_30" w:type="paragraph">
    <w:name w:val="Balloon Text"/>
    <w:basedOn w:val="Style_4"/>
    <w:link w:val="Style_30_ch"/>
    <w:pPr>
      <w:widowControl w:val="1"/>
      <w:ind w:firstLine="709"/>
      <w:jc w:val="both"/>
    </w:pPr>
    <w:rPr>
      <w:rFonts w:ascii="Tahoma" w:hAnsi="Tahoma"/>
      <w:sz w:val="16"/>
    </w:rPr>
  </w:style>
  <w:style w:styleId="Style_30_ch" w:type="character">
    <w:name w:val="Balloon Text"/>
    <w:basedOn w:val="Style_4_ch"/>
    <w:link w:val="Style_30"/>
    <w:rPr>
      <w:rFonts w:ascii="Tahoma" w:hAnsi="Tahoma"/>
      <w:sz w:val="16"/>
    </w:rPr>
  </w:style>
  <w:style w:styleId="Style_31" w:type="paragraph">
    <w:name w:val="Название"/>
    <w:basedOn w:val="Style_4"/>
    <w:link w:val="Style_31_ch"/>
    <w:pPr>
      <w:widowControl w:val="1"/>
      <w:tabs>
        <w:tab w:leader="none" w:pos="8080" w:val="left"/>
      </w:tabs>
      <w:ind/>
      <w:jc w:val="center"/>
    </w:pPr>
    <w:rPr>
      <w:b w:val="1"/>
      <w:sz w:val="36"/>
    </w:rPr>
  </w:style>
  <w:style w:styleId="Style_31_ch" w:type="character">
    <w:name w:val="Название"/>
    <w:basedOn w:val="Style_4_ch"/>
    <w:link w:val="Style_31"/>
    <w:rPr>
      <w:b w:val="1"/>
      <w:sz w:val="36"/>
    </w:rPr>
  </w:style>
  <w:style w:styleId="Style_23" w:type="paragraph">
    <w:name w:val="Цветовое выделение"/>
    <w:link w:val="Style_23_ch"/>
    <w:rPr>
      <w:b w:val="1"/>
      <w:color w:val="26282F"/>
    </w:rPr>
  </w:style>
  <w:style w:styleId="Style_23_ch" w:type="character">
    <w:name w:val="Цветовое выделение"/>
    <w:link w:val="Style_23"/>
    <w:rPr>
      <w:b w:val="1"/>
      <w:color w:val="26282F"/>
    </w:rPr>
  </w:style>
  <w:style w:styleId="Style_32" w:type="paragraph">
    <w:name w:val="Заголовок 71"/>
    <w:basedOn w:val="Style_4"/>
    <w:next w:val="Style_4"/>
    <w:link w:val="Style_32_ch"/>
    <w:pPr>
      <w:keepNext w:val="1"/>
      <w:keepLines w:val="1"/>
      <w:widowControl w:val="1"/>
      <w:spacing w:line="276" w:lineRule="auto"/>
      <w:ind w:left="709"/>
      <w:jc w:val="both"/>
      <w:outlineLvl w:val="6"/>
    </w:pPr>
    <w:rPr>
      <w:b w:val="1"/>
      <w:color w:val="000000"/>
      <w:sz w:val="28"/>
    </w:rPr>
  </w:style>
  <w:style w:styleId="Style_32_ch" w:type="character">
    <w:name w:val="Заголовок 71"/>
    <w:basedOn w:val="Style_4_ch"/>
    <w:link w:val="Style_32"/>
    <w:rPr>
      <w:b w:val="1"/>
      <w:color w:val="000000"/>
      <w:sz w:val="28"/>
    </w:rPr>
  </w:style>
  <w:style w:styleId="Style_33" w:type="paragraph">
    <w:name w:val="ConsPlusCell"/>
    <w:link w:val="Style_33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3_ch" w:type="character">
    <w:name w:val="ConsPlusCell"/>
    <w:link w:val="Style_33"/>
    <w:rPr>
      <w:rFonts w:ascii="Times New Roman" w:hAnsi="Times New Roman"/>
      <w:sz w:val="24"/>
    </w:rPr>
  </w:style>
  <w:style w:styleId="Style_34" w:type="paragraph">
    <w:name w:val="Quote"/>
    <w:basedOn w:val="Style_4"/>
    <w:next w:val="Style_4"/>
    <w:link w:val="Style_34_ch"/>
    <w:pPr>
      <w:widowControl w:val="1"/>
      <w:spacing w:after="160" w:before="200" w:line="259" w:lineRule="auto"/>
      <w:ind w:left="864" w:right="864"/>
      <w:jc w:val="center"/>
    </w:pPr>
    <w:rPr>
      <w:rFonts w:asciiTheme="minorAscii" w:hAnsiTheme="minorHAnsi"/>
      <w:i w:val="1"/>
      <w:color w:val="000000"/>
      <w:sz w:val="22"/>
    </w:rPr>
  </w:style>
  <w:style w:styleId="Style_34_ch" w:type="character">
    <w:name w:val="Quote"/>
    <w:basedOn w:val="Style_4_ch"/>
    <w:link w:val="Style_34"/>
    <w:rPr>
      <w:rFonts w:asciiTheme="minorAscii" w:hAnsiTheme="minorHAnsi"/>
      <w:i w:val="1"/>
      <w:color w:val="000000"/>
      <w:sz w:val="2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35" w:type="paragraph">
    <w:name w:val="Body Text"/>
    <w:basedOn w:val="Style_4"/>
    <w:link w:val="Style_35_ch"/>
    <w:pPr>
      <w:widowControl w:val="1"/>
      <w:spacing w:after="120" w:line="259" w:lineRule="auto"/>
      <w:ind/>
    </w:pPr>
    <w:rPr>
      <w:rFonts w:asciiTheme="minorAscii" w:hAnsiTheme="minorHAnsi"/>
      <w:sz w:val="22"/>
    </w:rPr>
  </w:style>
  <w:style w:styleId="Style_35_ch" w:type="character">
    <w:name w:val="Body Text"/>
    <w:basedOn w:val="Style_4_ch"/>
    <w:link w:val="Style_35"/>
    <w:rPr>
      <w:rFonts w:asciiTheme="minorAscii" w:hAnsiTheme="minorHAnsi"/>
      <w:sz w:val="22"/>
    </w:rPr>
  </w:style>
  <w:style w:styleId="Style_36" w:type="paragraph">
    <w:name w:val="Заголовок статьи"/>
    <w:basedOn w:val="Style_4"/>
    <w:next w:val="Style_4"/>
    <w:link w:val="Style_36_ch"/>
    <w:pPr>
      <w:widowControl w:val="1"/>
      <w:spacing w:line="276" w:lineRule="auto"/>
      <w:ind w:hanging="892" w:left="1612"/>
      <w:jc w:val="both"/>
    </w:pPr>
    <w:rPr>
      <w:sz w:val="28"/>
    </w:rPr>
  </w:style>
  <w:style w:styleId="Style_36_ch" w:type="character">
    <w:name w:val="Заголовок статьи"/>
    <w:basedOn w:val="Style_4_ch"/>
    <w:link w:val="Style_36"/>
    <w:rPr>
      <w:sz w:val="28"/>
    </w:rPr>
  </w:style>
  <w:style w:styleId="Style_37" w:type="paragraph">
    <w:name w:val="текст в таблице"/>
    <w:basedOn w:val="Style_29"/>
    <w:link w:val="Style_37_ch"/>
    <w:pPr>
      <w:widowControl w:val="1"/>
      <w:spacing w:line="240" w:lineRule="auto"/>
      <w:ind w:left="0"/>
    </w:pPr>
    <w:rPr>
      <w:sz w:val="24"/>
    </w:rPr>
  </w:style>
  <w:style w:styleId="Style_37_ch" w:type="character">
    <w:name w:val="текст в таблице"/>
    <w:basedOn w:val="Style_29_ch"/>
    <w:link w:val="Style_37"/>
    <w:rPr>
      <w:sz w:val="24"/>
    </w:rPr>
  </w:style>
  <w:style w:styleId="Style_38" w:type="paragraph">
    <w:name w:val="toc 3"/>
    <w:basedOn w:val="Style_4"/>
    <w:next w:val="Style_4"/>
    <w:link w:val="Style_38_ch"/>
    <w:uiPriority w:val="39"/>
    <w:pPr>
      <w:widowControl w:val="1"/>
      <w:tabs>
        <w:tab w:leader="dot" w:pos="9345" w:val="right"/>
      </w:tabs>
      <w:spacing w:after="100" w:line="312" w:lineRule="auto"/>
      <w:ind/>
    </w:pPr>
    <w:rPr>
      <w:sz w:val="28"/>
    </w:rPr>
  </w:style>
  <w:style w:styleId="Style_38_ch" w:type="character">
    <w:name w:val="toc 3"/>
    <w:basedOn w:val="Style_4_ch"/>
    <w:link w:val="Style_38"/>
    <w:rPr>
      <w:sz w:val="28"/>
    </w:rPr>
  </w:style>
  <w:style w:styleId="Style_39" w:type="paragraph">
    <w:name w:val="Заголовок 4 Знак1"/>
    <w:basedOn w:val="Style_13"/>
    <w:link w:val="Style_39_ch"/>
    <w:rPr>
      <w:rFonts w:asciiTheme="majorAscii" w:hAnsiTheme="majorHAnsi"/>
      <w:i w:val="1"/>
      <w:color w:themeColor="accent1" w:themeShade="BF" w:val="2E75B5"/>
    </w:rPr>
  </w:style>
  <w:style w:styleId="Style_39_ch" w:type="character">
    <w:name w:val="Заголовок 4 Знак1"/>
    <w:basedOn w:val="Style_13_ch"/>
    <w:link w:val="Style_39"/>
    <w:rPr>
      <w:rFonts w:asciiTheme="majorAscii" w:hAnsiTheme="majorHAnsi"/>
      <w:i w:val="1"/>
      <w:color w:themeColor="accent1" w:themeShade="BF" w:val="2E75B5"/>
    </w:rPr>
  </w:style>
  <w:style w:styleId="Style_40" w:type="paragraph">
    <w:name w:val="Заголовок 51"/>
    <w:basedOn w:val="Style_4"/>
    <w:next w:val="Style_4"/>
    <w:link w:val="Style_40_ch"/>
    <w:pPr>
      <w:keepNext w:val="1"/>
      <w:keepLines w:val="1"/>
      <w:widowControl w:val="1"/>
      <w:spacing w:before="200" w:line="276" w:lineRule="auto"/>
      <w:ind w:firstLine="709"/>
      <w:jc w:val="both"/>
      <w:outlineLvl w:val="4"/>
    </w:pPr>
    <w:rPr>
      <w:rFonts w:ascii="Cambria" w:hAnsi="Cambria"/>
      <w:color w:val="243F60"/>
      <w:sz w:val="28"/>
    </w:rPr>
  </w:style>
  <w:style w:styleId="Style_40_ch" w:type="character">
    <w:name w:val="Заголовок 51"/>
    <w:basedOn w:val="Style_4_ch"/>
    <w:link w:val="Style_40"/>
    <w:rPr>
      <w:rFonts w:ascii="Cambria" w:hAnsi="Cambria"/>
      <w:color w:val="243F60"/>
      <w:sz w:val="28"/>
    </w:rPr>
  </w:style>
  <w:style w:styleId="Style_41" w:type="paragraph">
    <w:name w:val="Заголовок 81"/>
    <w:basedOn w:val="Style_4"/>
    <w:next w:val="Style_4"/>
    <w:link w:val="Style_41_ch"/>
    <w:pPr>
      <w:keepNext w:val="1"/>
      <w:keepLines w:val="1"/>
      <w:widowControl w:val="1"/>
      <w:spacing w:before="200" w:line="276" w:lineRule="auto"/>
      <w:ind w:firstLine="709"/>
      <w:jc w:val="both"/>
      <w:outlineLvl w:val="7"/>
    </w:pPr>
    <w:rPr>
      <w:rFonts w:ascii="Cambria" w:hAnsi="Cambria"/>
      <w:color w:val="4F81BD"/>
    </w:rPr>
  </w:style>
  <w:style w:styleId="Style_41_ch" w:type="character">
    <w:name w:val="Заголовок 81"/>
    <w:basedOn w:val="Style_4_ch"/>
    <w:link w:val="Style_41"/>
    <w:rPr>
      <w:rFonts w:ascii="Cambria" w:hAnsi="Cambria"/>
      <w:color w:val="4F81BD"/>
    </w:rPr>
  </w:style>
  <w:style w:styleId="Style_42" w:type="paragraph">
    <w:name w:val="Заголовок1"/>
    <w:basedOn w:val="Style_4"/>
    <w:next w:val="Style_4"/>
    <w:link w:val="Style_42_ch"/>
    <w:pPr>
      <w:widowControl w:val="1"/>
      <w:pBdr>
        <w:bottom w:color="4F81BD" w:space="4" w:sz="8" w:val="single"/>
      </w:pBdr>
      <w:spacing w:after="300"/>
      <w:ind w:firstLine="709"/>
      <w:contextualSpacing w:val="1"/>
      <w:jc w:val="both"/>
    </w:pPr>
    <w:rPr>
      <w:rFonts w:ascii="Cambria" w:hAnsi="Cambria"/>
      <w:color w:val="17365D"/>
      <w:spacing w:val="5"/>
      <w:sz w:val="52"/>
    </w:rPr>
  </w:style>
  <w:style w:styleId="Style_42_ch" w:type="character">
    <w:name w:val="Заголовок1"/>
    <w:basedOn w:val="Style_4_ch"/>
    <w:link w:val="Style_42"/>
    <w:rPr>
      <w:rFonts w:ascii="Cambria" w:hAnsi="Cambria"/>
      <w:color w:val="17365D"/>
      <w:spacing w:val="5"/>
      <w:sz w:val="52"/>
    </w:rPr>
  </w:style>
  <w:style w:styleId="Style_43" w:type="paragraph">
    <w:name w:val="Заголовок 6 Знак1"/>
    <w:basedOn w:val="Style_13"/>
    <w:link w:val="Style_43_ch"/>
    <w:rPr>
      <w:rFonts w:asciiTheme="majorAscii" w:hAnsiTheme="majorHAnsi"/>
      <w:color w:themeColor="accent1" w:themeShade="7F" w:val="1F4E79"/>
    </w:rPr>
  </w:style>
  <w:style w:styleId="Style_43_ch" w:type="character">
    <w:name w:val="Заголовок 6 Знак1"/>
    <w:basedOn w:val="Style_13_ch"/>
    <w:link w:val="Style_43"/>
    <w:rPr>
      <w:rFonts w:asciiTheme="majorAscii" w:hAnsiTheme="majorHAnsi"/>
      <w:color w:themeColor="accent1" w:themeShade="7F" w:val="1F4E79"/>
    </w:rPr>
  </w:style>
  <w:style w:styleId="Style_44" w:type="paragraph">
    <w:name w:val="Гиперссылка1"/>
    <w:basedOn w:val="Style_13"/>
    <w:link w:val="Style_44_ch"/>
    <w:rPr>
      <w:color w:val="0000FF"/>
      <w:u w:val="single"/>
    </w:rPr>
  </w:style>
  <w:style w:styleId="Style_44_ch" w:type="character">
    <w:name w:val="Гиперссылка1"/>
    <w:basedOn w:val="Style_13_ch"/>
    <w:link w:val="Style_44"/>
    <w:rPr>
      <w:color w:val="0000FF"/>
      <w:u w:val="single"/>
    </w:rPr>
  </w:style>
  <w:style w:styleId="Style_45" w:type="paragraph">
    <w:name w:val="Заголовок 61"/>
    <w:basedOn w:val="Style_4"/>
    <w:next w:val="Style_4"/>
    <w:link w:val="Style_45_ch"/>
    <w:pPr>
      <w:keepLines w:val="1"/>
      <w:widowControl w:val="1"/>
      <w:spacing w:before="120" w:line="276" w:lineRule="auto"/>
      <w:ind/>
      <w:jc w:val="both"/>
      <w:outlineLvl w:val="5"/>
    </w:pPr>
    <w:rPr>
      <w:b w:val="1"/>
      <w:sz w:val="28"/>
    </w:rPr>
  </w:style>
  <w:style w:styleId="Style_45_ch" w:type="character">
    <w:name w:val="Заголовок 61"/>
    <w:basedOn w:val="Style_4_ch"/>
    <w:link w:val="Style_45"/>
    <w:rPr>
      <w:b w:val="1"/>
      <w:sz w:val="28"/>
    </w:rPr>
  </w:style>
  <w:style w:styleId="Style_46" w:type="paragraph">
    <w:name w:val="Основной текст с отступом 31"/>
    <w:basedOn w:val="Style_4"/>
    <w:link w:val="Style_46_ch"/>
    <w:pPr>
      <w:widowControl w:val="1"/>
      <w:spacing w:after="120"/>
      <w:ind w:left="283"/>
    </w:pPr>
    <w:rPr>
      <w:color w:val="000000"/>
      <w:sz w:val="16"/>
    </w:rPr>
  </w:style>
  <w:style w:styleId="Style_46_ch" w:type="character">
    <w:name w:val="Основной текст с отступом 31"/>
    <w:basedOn w:val="Style_4_ch"/>
    <w:link w:val="Style_46"/>
    <w:rPr>
      <w:color w:val="000000"/>
      <w:sz w:val="16"/>
    </w:rPr>
  </w:style>
  <w:style w:styleId="Style_47" w:type="paragraph">
    <w:name w:val="Абзац списка1"/>
    <w:basedOn w:val="Style_4"/>
    <w:link w:val="Style_47_ch"/>
    <w:pPr>
      <w:widowControl w:val="1"/>
      <w:spacing w:line="276" w:lineRule="auto"/>
      <w:ind w:firstLine="709" w:left="720"/>
      <w:contextualSpacing w:val="1"/>
      <w:jc w:val="both"/>
    </w:pPr>
    <w:rPr>
      <w:sz w:val="28"/>
    </w:rPr>
  </w:style>
  <w:style w:styleId="Style_47_ch" w:type="character">
    <w:name w:val="Абзац списка1"/>
    <w:basedOn w:val="Style_4_ch"/>
    <w:link w:val="Style_47"/>
    <w:rPr>
      <w:sz w:val="28"/>
    </w:rPr>
  </w:style>
  <w:style w:styleId="Style_48" w:type="paragraph">
    <w:name w:val="Слабая ссылка1"/>
    <w:basedOn w:val="Style_13"/>
    <w:link w:val="Style_48_ch"/>
    <w:rPr>
      <w:smallCaps w:val="1"/>
      <w:color w:val="C0504D"/>
      <w:u w:val="single"/>
    </w:rPr>
  </w:style>
  <w:style w:styleId="Style_48_ch" w:type="character">
    <w:name w:val="Слабая ссылка1"/>
    <w:basedOn w:val="Style_13_ch"/>
    <w:link w:val="Style_48"/>
    <w:rPr>
      <w:smallCaps w:val="1"/>
      <w:color w:val="C0504D"/>
      <w:u w:val="single"/>
    </w:rPr>
  </w:style>
  <w:style w:styleId="Style_49" w:type="paragraph">
    <w:name w:val="Выделенная цитата Знак1"/>
    <w:basedOn w:val="Style_13"/>
    <w:link w:val="Style_49_ch"/>
    <w:rPr>
      <w:i w:val="1"/>
      <w:color w:themeColor="accent1" w:val="5B9BD5"/>
    </w:rPr>
  </w:style>
  <w:style w:styleId="Style_49_ch" w:type="character">
    <w:name w:val="Выделенная цитата Знак1"/>
    <w:basedOn w:val="Style_13_ch"/>
    <w:link w:val="Style_49"/>
    <w:rPr>
      <w:i w:val="1"/>
      <w:color w:themeColor="accent1" w:val="5B9BD5"/>
    </w:rPr>
  </w:style>
  <w:style w:styleId="Style_50" w:type="paragraph">
    <w:name w:val="Заголовок 21"/>
    <w:basedOn w:val="Style_4"/>
    <w:next w:val="Style_4"/>
    <w:link w:val="Style_50_ch"/>
    <w:pPr>
      <w:keepNext w:val="1"/>
      <w:keepLines w:val="1"/>
      <w:widowControl w:val="1"/>
      <w:spacing w:after="120" w:before="360" w:line="276" w:lineRule="auto"/>
      <w:ind w:firstLine="709"/>
      <w:jc w:val="both"/>
      <w:outlineLvl w:val="1"/>
    </w:pPr>
    <w:rPr>
      <w:b w:val="1"/>
      <w:sz w:val="28"/>
    </w:rPr>
  </w:style>
  <w:style w:styleId="Style_50_ch" w:type="character">
    <w:name w:val="Заголовок 21"/>
    <w:basedOn w:val="Style_4_ch"/>
    <w:link w:val="Style_50"/>
    <w:rPr>
      <w:b w:val="1"/>
      <w:sz w:val="28"/>
    </w:rPr>
  </w:style>
  <w:style w:styleId="Style_51" w:type="paragraph">
    <w:name w:val="List Paragraph Char"/>
    <w:basedOn w:val="Style_13"/>
    <w:link w:val="Style_51_ch"/>
    <w:rPr>
      <w:rFonts w:ascii="Calibri" w:hAnsi="Calibri"/>
      <w:sz w:val="22"/>
    </w:rPr>
  </w:style>
  <w:style w:styleId="Style_51_ch" w:type="character">
    <w:name w:val="List Paragraph Char"/>
    <w:basedOn w:val="Style_13_ch"/>
    <w:link w:val="Style_51"/>
    <w:rPr>
      <w:rFonts w:ascii="Calibri" w:hAnsi="Calibri"/>
      <w:sz w:val="22"/>
    </w:rPr>
  </w:style>
  <w:style w:styleId="Style_1" w:type="paragraph">
    <w:name w:val="foot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 w:firstLine="709"/>
      <w:jc w:val="both"/>
    </w:pPr>
    <w:rPr>
      <w:sz w:val="28"/>
    </w:rPr>
  </w:style>
  <w:style w:styleId="Style_1_ch" w:type="character">
    <w:name w:val="footer"/>
    <w:basedOn w:val="Style_4_ch"/>
    <w:link w:val="Style_1"/>
    <w:rPr>
      <w:sz w:val="28"/>
    </w:rPr>
  </w:style>
  <w:style w:styleId="Style_52" w:type="paragraph">
    <w:name w:val="Абзац"/>
    <w:basedOn w:val="Style_4"/>
    <w:link w:val="Style_52_ch"/>
    <w:pPr>
      <w:widowControl w:val="1"/>
      <w:spacing w:line="276" w:lineRule="auto"/>
      <w:ind w:firstLine="284"/>
      <w:jc w:val="both"/>
    </w:pPr>
    <w:rPr>
      <w:rFonts w:ascii="GaramondCTT" w:hAnsi="GaramondCTT"/>
    </w:rPr>
  </w:style>
  <w:style w:styleId="Style_52_ch" w:type="character">
    <w:name w:val="Абзац"/>
    <w:basedOn w:val="Style_4_ch"/>
    <w:link w:val="Style_52"/>
    <w:rPr>
      <w:rFonts w:ascii="GaramondCTT" w:hAnsi="GaramondCTT"/>
    </w:rPr>
  </w:style>
  <w:style w:styleId="Style_53" w:type="paragraph">
    <w:name w:val="Заголовок 9 Знак1"/>
    <w:basedOn w:val="Style_13"/>
    <w:link w:val="Style_53_ch"/>
    <w:rPr>
      <w:rFonts w:asciiTheme="majorAscii" w:hAnsiTheme="majorHAnsi"/>
      <w:i w:val="1"/>
      <w:color w:themeColor="text1" w:themeTint="D8" w:val="272727"/>
      <w:sz w:val="21"/>
    </w:rPr>
  </w:style>
  <w:style w:styleId="Style_53_ch" w:type="character">
    <w:name w:val="Заголовок 9 Знак1"/>
    <w:basedOn w:val="Style_13_ch"/>
    <w:link w:val="Style_53"/>
    <w:rPr>
      <w:rFonts w:asciiTheme="majorAscii" w:hAnsiTheme="majorHAnsi"/>
      <w:i w:val="1"/>
      <w:color w:themeColor="text1" w:themeTint="D8" w:val="272727"/>
      <w:sz w:val="21"/>
    </w:rPr>
  </w:style>
  <w:style w:styleId="Style_54" w:type="paragraph">
    <w:name w:val="heading 5"/>
    <w:basedOn w:val="Style_4"/>
    <w:next w:val="Style_4"/>
    <w:link w:val="Style_54_ch"/>
    <w:uiPriority w:val="9"/>
    <w:qFormat/>
    <w:pPr>
      <w:keepNext w:val="1"/>
      <w:keepLines w:val="1"/>
      <w:widowControl w:val="1"/>
      <w:spacing w:before="40"/>
      <w:ind/>
      <w:outlineLvl w:val="4"/>
    </w:pPr>
    <w:rPr>
      <w:rFonts w:ascii="Cambria" w:hAnsi="Cambria"/>
      <w:color w:val="243F60"/>
    </w:rPr>
  </w:style>
  <w:style w:styleId="Style_54_ch" w:type="character">
    <w:name w:val="heading 5"/>
    <w:basedOn w:val="Style_4_ch"/>
    <w:link w:val="Style_54"/>
    <w:rPr>
      <w:rFonts w:ascii="Cambria" w:hAnsi="Cambria"/>
      <w:color w:val="243F60"/>
    </w:rPr>
  </w:style>
  <w:style w:styleId="Style_55" w:type="paragraph">
    <w:name w:val="Заголовок 7 Знак1"/>
    <w:basedOn w:val="Style_13"/>
    <w:link w:val="Style_55_ch"/>
    <w:rPr>
      <w:rFonts w:asciiTheme="majorAscii" w:hAnsiTheme="majorHAnsi"/>
      <w:i w:val="1"/>
      <w:color w:themeColor="accent1" w:themeShade="7F" w:val="1F4E79"/>
    </w:rPr>
  </w:style>
  <w:style w:styleId="Style_55_ch" w:type="character">
    <w:name w:val="Заголовок 7 Знак1"/>
    <w:basedOn w:val="Style_13_ch"/>
    <w:link w:val="Style_55"/>
    <w:rPr>
      <w:rFonts w:asciiTheme="majorAscii" w:hAnsiTheme="majorHAnsi"/>
      <w:i w:val="1"/>
      <w:color w:themeColor="accent1" w:themeShade="7F" w:val="1F4E79"/>
    </w:rPr>
  </w:style>
  <w:style w:styleId="Style_56" w:type="paragraph">
    <w:name w:val="heading 1"/>
    <w:basedOn w:val="Style_4"/>
    <w:next w:val="Style_4"/>
    <w:link w:val="Style_56_ch"/>
    <w:uiPriority w:val="9"/>
    <w:qFormat/>
    <w:pPr>
      <w:keepNext w:val="1"/>
      <w:keepLines w:val="1"/>
      <w:widowControl w:val="1"/>
      <w:spacing w:before="240" w:line="259" w:lineRule="auto"/>
      <w:ind/>
      <w:outlineLvl w:val="0"/>
    </w:pPr>
    <w:rPr>
      <w:rFonts w:asciiTheme="majorAscii" w:hAnsiTheme="majorHAnsi"/>
      <w:color w:themeColor="accent1" w:themeShade="BF" w:val="2E75B5"/>
      <w:sz w:val="32"/>
    </w:rPr>
  </w:style>
  <w:style w:styleId="Style_56_ch" w:type="character">
    <w:name w:val="heading 1"/>
    <w:basedOn w:val="Style_4_ch"/>
    <w:link w:val="Style_56"/>
    <w:rPr>
      <w:rFonts w:asciiTheme="majorAscii" w:hAnsiTheme="majorHAnsi"/>
      <w:color w:themeColor="accent1" w:themeShade="BF" w:val="2E75B5"/>
      <w:sz w:val="32"/>
    </w:rPr>
  </w:style>
  <w:style w:styleId="Style_57" w:type="paragraph">
    <w:name w:val="Подзаголовок 15"/>
    <w:basedOn w:val="Style_4"/>
    <w:link w:val="Style_57_ch"/>
    <w:pPr>
      <w:keepNext w:val="1"/>
      <w:widowControl w:val="1"/>
      <w:spacing w:line="360" w:lineRule="auto"/>
      <w:ind w:firstLine="567"/>
      <w:jc w:val="both"/>
    </w:pPr>
    <w:rPr>
      <w:b w:val="1"/>
      <w:sz w:val="28"/>
    </w:rPr>
  </w:style>
  <w:style w:styleId="Style_57_ch" w:type="character">
    <w:name w:val="Подзаголовок 15"/>
    <w:basedOn w:val="Style_4_ch"/>
    <w:link w:val="Style_57"/>
    <w:rPr>
      <w:b w:val="1"/>
      <w:sz w:val="28"/>
    </w:rPr>
  </w:style>
  <w:style w:styleId="Style_58" w:type="paragraph">
    <w:name w:val="Комментарий"/>
    <w:basedOn w:val="Style_4"/>
    <w:next w:val="Style_4"/>
    <w:link w:val="Style_58_ch"/>
    <w:pPr>
      <w:widowControl w:val="1"/>
      <w:spacing w:before="75" w:line="276" w:lineRule="auto"/>
      <w:ind w:left="170"/>
      <w:jc w:val="both"/>
    </w:pPr>
    <w:rPr>
      <w:color w:val="353842"/>
      <w:sz w:val="28"/>
    </w:rPr>
  </w:style>
  <w:style w:styleId="Style_58_ch" w:type="character">
    <w:name w:val="Комментарий"/>
    <w:basedOn w:val="Style_4_ch"/>
    <w:link w:val="Style_58"/>
    <w:rPr>
      <w:color w:val="353842"/>
      <w:sz w:val="28"/>
    </w:rPr>
  </w:style>
  <w:style w:styleId="Style_59" w:type="paragraph">
    <w:name w:val="Слабое выделение1"/>
    <w:basedOn w:val="Style_13"/>
    <w:link w:val="Style_59_ch"/>
    <w:rPr>
      <w:i w:val="1"/>
      <w:color w:val="808080"/>
    </w:rPr>
  </w:style>
  <w:style w:styleId="Style_59_ch" w:type="character">
    <w:name w:val="Слабое выделение1"/>
    <w:basedOn w:val="Style_13_ch"/>
    <w:link w:val="Style_59"/>
    <w:rPr>
      <w:i w:val="1"/>
      <w:color w:val="808080"/>
    </w:rPr>
  </w:style>
  <w:style w:styleId="Style_60" w:type="paragraph">
    <w:name w:val="Цитата 21"/>
    <w:basedOn w:val="Style_4"/>
    <w:next w:val="Style_4"/>
    <w:link w:val="Style_60_ch"/>
    <w:pPr>
      <w:widowControl w:val="1"/>
      <w:spacing w:line="276" w:lineRule="auto"/>
      <w:ind w:firstLine="709"/>
      <w:jc w:val="both"/>
    </w:pPr>
    <w:rPr>
      <w:i w:val="1"/>
      <w:color w:val="000000"/>
      <w:sz w:val="28"/>
    </w:rPr>
  </w:style>
  <w:style w:styleId="Style_60_ch" w:type="character">
    <w:name w:val="Цитата 21"/>
    <w:basedOn w:val="Style_4_ch"/>
    <w:link w:val="Style_60"/>
    <w:rPr>
      <w:i w:val="1"/>
      <w:color w:val="000000"/>
      <w:sz w:val="28"/>
    </w:rPr>
  </w:style>
  <w:style w:styleId="Style_61" w:type="paragraph">
    <w:name w:val="Hyperlink"/>
    <w:basedOn w:val="Style_13"/>
    <w:link w:val="Style_61_ch"/>
    <w:rPr>
      <w:color w:themeColor="hyperlink" w:val="0563C1"/>
      <w:u w:val="single"/>
    </w:rPr>
  </w:style>
  <w:style w:styleId="Style_61_ch" w:type="character">
    <w:name w:val="Hyperlink"/>
    <w:basedOn w:val="Style_13_ch"/>
    <w:link w:val="Style_61"/>
    <w:rPr>
      <w:color w:themeColor="hyperlink" w:val="0563C1"/>
      <w:u w:val="single"/>
    </w:rPr>
  </w:style>
  <w:style w:styleId="Style_62" w:type="paragraph">
    <w:name w:val="Footnote"/>
    <w:basedOn w:val="Style_4"/>
    <w:link w:val="Style_62_ch"/>
    <w:pPr>
      <w:widowControl w:val="1"/>
      <w:ind w:firstLine="709"/>
      <w:jc w:val="both"/>
    </w:pPr>
  </w:style>
  <w:style w:styleId="Style_62_ch" w:type="character">
    <w:name w:val="Footnote"/>
    <w:basedOn w:val="Style_4_ch"/>
    <w:link w:val="Style_62"/>
  </w:style>
  <w:style w:styleId="Style_63" w:type="paragraph">
    <w:name w:val="heading 8"/>
    <w:basedOn w:val="Style_4"/>
    <w:next w:val="Style_4"/>
    <w:link w:val="Style_63_ch"/>
    <w:uiPriority w:val="9"/>
    <w:qFormat/>
    <w:pPr>
      <w:keepNext w:val="1"/>
      <w:keepLines w:val="1"/>
      <w:widowControl w:val="1"/>
      <w:spacing w:before="40"/>
      <w:ind/>
      <w:outlineLvl w:val="7"/>
    </w:pPr>
    <w:rPr>
      <w:rFonts w:ascii="Cambria" w:hAnsi="Cambria"/>
      <w:color w:val="4F81BD"/>
    </w:rPr>
  </w:style>
  <w:style w:styleId="Style_63_ch" w:type="character">
    <w:name w:val="heading 8"/>
    <w:basedOn w:val="Style_4_ch"/>
    <w:link w:val="Style_63"/>
    <w:rPr>
      <w:rFonts w:ascii="Cambria" w:hAnsi="Cambria"/>
      <w:color w:val="4F81BD"/>
    </w:rPr>
  </w:style>
  <w:style w:styleId="Style_64" w:type="paragraph">
    <w:name w:val="toc 1"/>
    <w:basedOn w:val="Style_4"/>
    <w:next w:val="Style_4"/>
    <w:link w:val="Style_64_ch"/>
    <w:uiPriority w:val="39"/>
    <w:pPr>
      <w:widowControl w:val="1"/>
      <w:tabs>
        <w:tab w:leader="dot" w:pos="9345" w:val="right"/>
      </w:tabs>
      <w:spacing w:after="100" w:line="276" w:lineRule="auto"/>
      <w:ind/>
    </w:pPr>
    <w:rPr>
      <w:sz w:val="28"/>
    </w:rPr>
  </w:style>
  <w:style w:styleId="Style_64_ch" w:type="character">
    <w:name w:val="toc 1"/>
    <w:basedOn w:val="Style_4_ch"/>
    <w:link w:val="Style_64"/>
    <w:rPr>
      <w:sz w:val="28"/>
    </w:rPr>
  </w:style>
  <w:style w:styleId="Style_65" w:type="paragraph">
    <w:name w:val="Header and Footer"/>
    <w:link w:val="Style_6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65_ch" w:type="character">
    <w:name w:val="Header and Footer"/>
    <w:link w:val="Style_65"/>
    <w:rPr>
      <w:rFonts w:ascii="XO Thames" w:hAnsi="XO Thames"/>
      <w:sz w:val="28"/>
    </w:rPr>
  </w:style>
  <w:style w:styleId="Style_66" w:type="paragraph">
    <w:name w:val="rtejustify"/>
    <w:basedOn w:val="Style_4"/>
    <w:link w:val="Style_66_ch"/>
    <w:pPr>
      <w:widowControl w:val="1"/>
      <w:spacing w:afterAutospacing="on" w:beforeAutospacing="on"/>
      <w:ind/>
    </w:pPr>
    <w:rPr>
      <w:sz w:val="24"/>
    </w:rPr>
  </w:style>
  <w:style w:styleId="Style_66_ch" w:type="character">
    <w:name w:val="rtejustify"/>
    <w:basedOn w:val="Style_4_ch"/>
    <w:link w:val="Style_66"/>
    <w:rPr>
      <w:sz w:val="24"/>
    </w:rPr>
  </w:style>
  <w:style w:styleId="Style_67" w:type="paragraph">
    <w:name w:val="Emphasis"/>
    <w:basedOn w:val="Style_13"/>
    <w:link w:val="Style_67_ch"/>
    <w:rPr>
      <w:i w:val="1"/>
    </w:rPr>
  </w:style>
  <w:style w:styleId="Style_67_ch" w:type="character">
    <w:name w:val="Emphasis"/>
    <w:basedOn w:val="Style_13_ch"/>
    <w:link w:val="Style_67"/>
    <w:rPr>
      <w:i w:val="1"/>
    </w:rPr>
  </w:style>
  <w:style w:styleId="Style_68" w:type="paragraph">
    <w:name w:val="Subtle Emphasis"/>
    <w:basedOn w:val="Style_13"/>
    <w:link w:val="Style_68_ch"/>
    <w:rPr>
      <w:i w:val="1"/>
      <w:color w:themeColor="text1" w:themeTint="BF" w:val="404040"/>
    </w:rPr>
  </w:style>
  <w:style w:styleId="Style_68_ch" w:type="character">
    <w:name w:val="Subtle Emphasis"/>
    <w:basedOn w:val="Style_13_ch"/>
    <w:link w:val="Style_68"/>
    <w:rPr>
      <w:i w:val="1"/>
      <w:color w:themeColor="text1" w:themeTint="BF" w:val="404040"/>
    </w:rPr>
  </w:style>
  <w:style w:styleId="Style_69" w:type="paragraph">
    <w:name w:val="msonormal_mailru_css_attribute_postfix_mailru_css_attribute_postfix"/>
    <w:basedOn w:val="Style_4"/>
    <w:link w:val="Style_69_ch"/>
    <w:pPr>
      <w:widowControl w:val="1"/>
      <w:spacing w:afterAutospacing="on" w:beforeAutospacing="on"/>
      <w:ind/>
    </w:pPr>
    <w:rPr>
      <w:sz w:val="24"/>
    </w:rPr>
  </w:style>
  <w:style w:styleId="Style_69_ch" w:type="character">
    <w:name w:val="msonormal_mailru_css_attribute_postfix_mailru_css_attribute_postfix"/>
    <w:basedOn w:val="Style_4_ch"/>
    <w:link w:val="Style_69"/>
    <w:rPr>
      <w:sz w:val="24"/>
    </w:rPr>
  </w:style>
  <w:style w:styleId="Style_70" w:type="paragraph">
    <w:name w:val="Intense Emphasis"/>
    <w:basedOn w:val="Style_13"/>
    <w:link w:val="Style_70_ch"/>
    <w:rPr>
      <w:i w:val="1"/>
      <w:color w:themeColor="accent1" w:val="5B9BD5"/>
    </w:rPr>
  </w:style>
  <w:style w:styleId="Style_70_ch" w:type="character">
    <w:name w:val="Intense Emphasis"/>
    <w:basedOn w:val="Style_13_ch"/>
    <w:link w:val="Style_70"/>
    <w:rPr>
      <w:i w:val="1"/>
      <w:color w:themeColor="accent1" w:val="5B9BD5"/>
    </w:rPr>
  </w:style>
  <w:style w:styleId="Style_71" w:type="paragraph">
    <w:name w:val="ConsPlusNormal"/>
    <w:link w:val="Style_71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71_ch" w:type="character">
    <w:name w:val="ConsPlusNormal"/>
    <w:link w:val="Style_71"/>
    <w:rPr>
      <w:rFonts w:ascii="Arial" w:hAnsi="Arial"/>
      <w:sz w:val="20"/>
    </w:rPr>
  </w:style>
  <w:style w:styleId="Style_72" w:type="paragraph">
    <w:name w:val="toc 9"/>
    <w:next w:val="Style_4"/>
    <w:link w:val="Style_7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72_ch" w:type="character">
    <w:name w:val="toc 9"/>
    <w:link w:val="Style_72"/>
    <w:rPr>
      <w:rFonts w:ascii="XO Thames" w:hAnsi="XO Thames"/>
      <w:sz w:val="28"/>
    </w:rPr>
  </w:style>
  <w:style w:styleId="Style_73" w:type="paragraph">
    <w:name w:val="Выделенная цитата1"/>
    <w:basedOn w:val="Style_4"/>
    <w:next w:val="Style_4"/>
    <w:link w:val="Style_73_ch"/>
    <w:pPr>
      <w:widowControl w:val="1"/>
      <w:pBdr>
        <w:bottom w:color="4F81BD" w:space="4" w:sz="4" w:val="single"/>
      </w:pBdr>
      <w:spacing w:after="280" w:before="200" w:line="276" w:lineRule="auto"/>
      <w:ind w:firstLine="709" w:left="936" w:right="936"/>
      <w:jc w:val="both"/>
    </w:pPr>
    <w:rPr>
      <w:b w:val="1"/>
      <w:i w:val="1"/>
      <w:color w:val="4F81BD"/>
      <w:sz w:val="28"/>
    </w:rPr>
  </w:style>
  <w:style w:styleId="Style_73_ch" w:type="character">
    <w:name w:val="Выделенная цитата1"/>
    <w:basedOn w:val="Style_4_ch"/>
    <w:link w:val="Style_73"/>
    <w:rPr>
      <w:b w:val="1"/>
      <w:i w:val="1"/>
      <w:color w:val="4F81BD"/>
      <w:sz w:val="28"/>
    </w:rPr>
  </w:style>
  <w:style w:styleId="Style_74" w:type="paragraph">
    <w:name w:val="ConsTitle"/>
    <w:link w:val="Style_74_ch"/>
    <w:pPr>
      <w:widowControl w:val="0"/>
      <w:spacing w:after="0" w:line="240" w:lineRule="auto"/>
      <w:ind/>
    </w:pPr>
    <w:rPr>
      <w:rFonts w:ascii="Arial" w:hAnsi="Arial"/>
      <w:b w:val="1"/>
      <w:sz w:val="16"/>
    </w:rPr>
  </w:style>
  <w:style w:styleId="Style_74_ch" w:type="character">
    <w:name w:val="ConsTitle"/>
    <w:link w:val="Style_74"/>
    <w:rPr>
      <w:rFonts w:ascii="Arial" w:hAnsi="Arial"/>
      <w:b w:val="1"/>
      <w:sz w:val="16"/>
    </w:rPr>
  </w:style>
  <w:style w:styleId="Style_75" w:type="paragraph">
    <w:name w:val="Информация о версии"/>
    <w:basedOn w:val="Style_58"/>
    <w:next w:val="Style_4"/>
    <w:link w:val="Style_75_ch"/>
    <w:rPr>
      <w:i w:val="1"/>
    </w:rPr>
  </w:style>
  <w:style w:styleId="Style_75_ch" w:type="character">
    <w:name w:val="Информация о версии"/>
    <w:basedOn w:val="Style_58_ch"/>
    <w:link w:val="Style_75"/>
    <w:rPr>
      <w:i w:val="1"/>
    </w:rPr>
  </w:style>
  <w:style w:styleId="Style_76" w:type="paragraph">
    <w:name w:val="toc 8"/>
    <w:next w:val="Style_4"/>
    <w:link w:val="Style_7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76_ch" w:type="character">
    <w:name w:val="toc 8"/>
    <w:link w:val="Style_76"/>
    <w:rPr>
      <w:rFonts w:ascii="XO Thames" w:hAnsi="XO Thames"/>
      <w:sz w:val="28"/>
    </w:rPr>
  </w:style>
  <w:style w:styleId="Style_77" w:type="paragraph">
    <w:name w:val="Normal (Web)"/>
    <w:basedOn w:val="Style_4"/>
    <w:link w:val="Style_77_ch"/>
    <w:pPr>
      <w:widowControl w:val="1"/>
      <w:spacing w:after="280" w:before="280" w:line="276" w:lineRule="auto"/>
      <w:ind/>
    </w:pPr>
    <w:rPr>
      <w:sz w:val="28"/>
    </w:rPr>
  </w:style>
  <w:style w:styleId="Style_77_ch" w:type="character">
    <w:name w:val="Normal (Web)"/>
    <w:basedOn w:val="Style_4_ch"/>
    <w:link w:val="Style_77"/>
    <w:rPr>
      <w:sz w:val="28"/>
    </w:rPr>
  </w:style>
  <w:style w:styleId="Style_78" w:type="paragraph">
    <w:name w:val="Book Title"/>
    <w:basedOn w:val="Style_13"/>
    <w:link w:val="Style_78_ch"/>
    <w:rPr>
      <w:b w:val="1"/>
      <w:smallCaps w:val="1"/>
      <w:spacing w:val="5"/>
    </w:rPr>
  </w:style>
  <w:style w:styleId="Style_78_ch" w:type="character">
    <w:name w:val="Book Title"/>
    <w:basedOn w:val="Style_13_ch"/>
    <w:link w:val="Style_78"/>
    <w:rPr>
      <w:b w:val="1"/>
      <w:smallCaps w:val="1"/>
      <w:spacing w:val="5"/>
    </w:rPr>
  </w:style>
  <w:style w:styleId="Style_79" w:type="paragraph">
    <w:name w:val="Подзаголовок Знак1"/>
    <w:basedOn w:val="Style_13"/>
    <w:link w:val="Style_79_ch"/>
    <w:rPr>
      <w:color w:themeColor="text1" w:themeTint="A5" w:val="595959"/>
      <w:spacing w:val="15"/>
    </w:rPr>
  </w:style>
  <w:style w:styleId="Style_79_ch" w:type="character">
    <w:name w:val="Подзаголовок Знак1"/>
    <w:basedOn w:val="Style_13_ch"/>
    <w:link w:val="Style_79"/>
    <w:rPr>
      <w:color w:themeColor="text1" w:themeTint="A5" w:val="595959"/>
      <w:spacing w:val="15"/>
    </w:rPr>
  </w:style>
  <w:style w:styleId="Style_80" w:type="paragraph">
    <w:name w:val="Intense Reference"/>
    <w:basedOn w:val="Style_13"/>
    <w:link w:val="Style_80_ch"/>
    <w:rPr>
      <w:b w:val="1"/>
      <w:smallCaps w:val="1"/>
      <w:color w:themeColor="accent1" w:val="5B9BD5"/>
      <w:spacing w:val="5"/>
    </w:rPr>
  </w:style>
  <w:style w:styleId="Style_80_ch" w:type="character">
    <w:name w:val="Intense Reference"/>
    <w:basedOn w:val="Style_13_ch"/>
    <w:link w:val="Style_80"/>
    <w:rPr>
      <w:b w:val="1"/>
      <w:smallCaps w:val="1"/>
      <w:color w:themeColor="accent1" w:val="5B9BD5"/>
      <w:spacing w:val="5"/>
    </w:rPr>
  </w:style>
  <w:style w:styleId="Style_81" w:type="paragraph">
    <w:name w:val="Subtle Reference"/>
    <w:basedOn w:val="Style_13"/>
    <w:link w:val="Style_81_ch"/>
    <w:rPr>
      <w:smallCaps w:val="1"/>
      <w:color w:themeColor="text1" w:themeTint="A5" w:val="595959"/>
    </w:rPr>
  </w:style>
  <w:style w:styleId="Style_81_ch" w:type="character">
    <w:name w:val="Subtle Reference"/>
    <w:basedOn w:val="Style_13_ch"/>
    <w:link w:val="Style_81"/>
    <w:rPr>
      <w:smallCaps w:val="1"/>
      <w:color w:themeColor="text1" w:themeTint="A5" w:val="595959"/>
    </w:rPr>
  </w:style>
  <w:style w:styleId="Style_82" w:type="paragraph">
    <w:name w:val="toc 5"/>
    <w:next w:val="Style_4"/>
    <w:link w:val="Style_8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82_ch" w:type="character">
    <w:name w:val="toc 5"/>
    <w:link w:val="Style_82"/>
    <w:rPr>
      <w:rFonts w:ascii="XO Thames" w:hAnsi="XO Thames"/>
      <w:sz w:val="28"/>
    </w:rPr>
  </w:style>
  <w:style w:styleId="Style_83" w:type="paragraph">
    <w:name w:val="Default"/>
    <w:link w:val="Style_83_ch"/>
    <w:pPr>
      <w:widowControl w:val="1"/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83_ch" w:type="character">
    <w:name w:val="Default"/>
    <w:link w:val="Style_83"/>
    <w:rPr>
      <w:rFonts w:ascii="Times New Roman" w:hAnsi="Times New Roman"/>
      <w:color w:val="000000"/>
      <w:sz w:val="24"/>
    </w:rPr>
  </w:style>
  <w:style w:styleId="Style_84" w:type="paragraph">
    <w:name w:val="Заголовок 41"/>
    <w:basedOn w:val="Style_4"/>
    <w:next w:val="Style_4"/>
    <w:link w:val="Style_84_ch"/>
    <w:pPr>
      <w:keepNext w:val="1"/>
      <w:keepLines w:val="1"/>
      <w:widowControl w:val="1"/>
      <w:spacing w:before="240" w:line="276" w:lineRule="auto"/>
      <w:ind w:left="720"/>
      <w:jc w:val="both"/>
      <w:outlineLvl w:val="3"/>
    </w:pPr>
    <w:rPr>
      <w:b w:val="1"/>
      <w:sz w:val="28"/>
    </w:rPr>
  </w:style>
  <w:style w:styleId="Style_84_ch" w:type="character">
    <w:name w:val="Заголовок 41"/>
    <w:basedOn w:val="Style_4_ch"/>
    <w:link w:val="Style_84"/>
    <w:rPr>
      <w:b w:val="1"/>
      <w:sz w:val="28"/>
    </w:rPr>
  </w:style>
  <w:style w:styleId="Style_85" w:type="paragraph">
    <w:name w:val="Нормальный (таблица)"/>
    <w:basedOn w:val="Style_4"/>
    <w:next w:val="Style_4"/>
    <w:link w:val="Style_85_ch"/>
    <w:pPr>
      <w:widowControl w:val="1"/>
      <w:ind/>
      <w:jc w:val="both"/>
    </w:pPr>
    <w:rPr>
      <w:rFonts w:ascii="Arial" w:hAnsi="Arial"/>
      <w:sz w:val="24"/>
    </w:rPr>
  </w:style>
  <w:style w:styleId="Style_85_ch" w:type="character">
    <w:name w:val="Нормальный (таблица)"/>
    <w:basedOn w:val="Style_4_ch"/>
    <w:link w:val="Style_85"/>
    <w:rPr>
      <w:rFonts w:ascii="Arial" w:hAnsi="Arial"/>
      <w:sz w:val="24"/>
    </w:rPr>
  </w:style>
  <w:style w:styleId="Style_86" w:type="paragraph">
    <w:name w:val="TOC Heading"/>
    <w:basedOn w:val="Style_56"/>
    <w:next w:val="Style_4"/>
    <w:link w:val="Style_86_ch"/>
    <w:pPr>
      <w:pageBreakBefore w:val="1"/>
      <w:widowControl w:val="1"/>
      <w:spacing w:line="276" w:lineRule="auto"/>
      <w:ind/>
      <w:jc w:val="both"/>
      <w:outlineLvl w:val="8"/>
    </w:pPr>
    <w:rPr>
      <w:rFonts w:ascii="Times New Roman" w:hAnsi="Times New Roman"/>
      <w:b w:val="1"/>
      <w:color w:val="000000"/>
    </w:rPr>
  </w:style>
  <w:style w:styleId="Style_86_ch" w:type="character">
    <w:name w:val="TOC Heading"/>
    <w:basedOn w:val="Style_56_ch"/>
    <w:link w:val="Style_86"/>
    <w:rPr>
      <w:rFonts w:ascii="Times New Roman" w:hAnsi="Times New Roman"/>
      <w:b w:val="1"/>
      <w:color w:val="000000"/>
    </w:rPr>
  </w:style>
  <w:style w:styleId="Style_87" w:type="paragraph">
    <w:name w:val="Заголовок 91"/>
    <w:basedOn w:val="Style_4"/>
    <w:next w:val="Style_4"/>
    <w:link w:val="Style_87_ch"/>
    <w:pPr>
      <w:keepNext w:val="1"/>
      <w:keepLines w:val="1"/>
      <w:widowControl w:val="1"/>
      <w:spacing w:before="200" w:line="276" w:lineRule="auto"/>
      <w:ind w:firstLine="709"/>
      <w:jc w:val="both"/>
      <w:outlineLvl w:val="8"/>
    </w:pPr>
    <w:rPr>
      <w:rFonts w:ascii="Cambria" w:hAnsi="Cambria"/>
      <w:i w:val="1"/>
      <w:color w:val="404040"/>
    </w:rPr>
  </w:style>
  <w:style w:styleId="Style_87_ch" w:type="character">
    <w:name w:val="Заголовок 91"/>
    <w:basedOn w:val="Style_4_ch"/>
    <w:link w:val="Style_87"/>
    <w:rPr>
      <w:rFonts w:ascii="Cambria" w:hAnsi="Cambria"/>
      <w:i w:val="1"/>
      <w:color w:val="404040"/>
    </w:rPr>
  </w:style>
  <w:style w:styleId="Style_88" w:type="paragraph">
    <w:name w:val="Сильное выделение1"/>
    <w:basedOn w:val="Style_13"/>
    <w:link w:val="Style_88_ch"/>
    <w:rPr>
      <w:b w:val="1"/>
      <w:i w:val="1"/>
      <w:color w:val="4F81BD"/>
    </w:rPr>
  </w:style>
  <w:style w:styleId="Style_88_ch" w:type="character">
    <w:name w:val="Сильное выделение1"/>
    <w:basedOn w:val="Style_13_ch"/>
    <w:link w:val="Style_88"/>
    <w:rPr>
      <w:b w:val="1"/>
      <w:i w:val="1"/>
      <w:color w:val="4F81BD"/>
    </w:rPr>
  </w:style>
  <w:style w:styleId="Style_89" w:type="paragraph">
    <w:name w:val="Body Text 3"/>
    <w:basedOn w:val="Style_4"/>
    <w:link w:val="Style_89_ch"/>
    <w:pPr>
      <w:widowControl w:val="1"/>
      <w:spacing w:after="120"/>
      <w:ind/>
    </w:pPr>
    <w:rPr>
      <w:sz w:val="16"/>
    </w:rPr>
  </w:style>
  <w:style w:styleId="Style_89_ch" w:type="character">
    <w:name w:val="Body Text 3"/>
    <w:basedOn w:val="Style_4_ch"/>
    <w:link w:val="Style_89"/>
    <w:rPr>
      <w:sz w:val="16"/>
    </w:rPr>
  </w:style>
  <w:style w:styleId="Style_90" w:type="paragraph">
    <w:name w:val="justifyfull"/>
    <w:basedOn w:val="Style_4"/>
    <w:link w:val="Style_90_ch"/>
    <w:pPr>
      <w:widowControl w:val="1"/>
      <w:spacing w:afterAutospacing="on" w:beforeAutospacing="on"/>
      <w:ind/>
    </w:pPr>
    <w:rPr>
      <w:sz w:val="24"/>
    </w:rPr>
  </w:style>
  <w:style w:styleId="Style_90_ch" w:type="character">
    <w:name w:val="justifyfull"/>
    <w:basedOn w:val="Style_4_ch"/>
    <w:link w:val="Style_90"/>
    <w:rPr>
      <w:sz w:val="24"/>
    </w:rPr>
  </w:style>
  <w:style w:styleId="Style_91" w:type="paragraph">
    <w:name w:val="Заголовок 3 Знак1"/>
    <w:basedOn w:val="Style_13"/>
    <w:link w:val="Style_91_ch"/>
    <w:rPr>
      <w:rFonts w:asciiTheme="majorAscii" w:hAnsiTheme="majorHAnsi"/>
      <w:color w:themeColor="accent1" w:themeShade="7F" w:val="1F4E79"/>
      <w:sz w:val="24"/>
    </w:rPr>
  </w:style>
  <w:style w:styleId="Style_91_ch" w:type="character">
    <w:name w:val="Заголовок 3 Знак1"/>
    <w:basedOn w:val="Style_13_ch"/>
    <w:link w:val="Style_91"/>
    <w:rPr>
      <w:rFonts w:asciiTheme="majorAscii" w:hAnsiTheme="majorHAnsi"/>
      <w:color w:themeColor="accent1" w:themeShade="7F" w:val="1F4E79"/>
      <w:sz w:val="24"/>
    </w:rPr>
  </w:style>
  <w:style w:styleId="Style_92" w:type="paragraph">
    <w:name w:val="Subtitle"/>
    <w:basedOn w:val="Style_4"/>
    <w:next w:val="Style_4"/>
    <w:link w:val="Style_92_ch"/>
    <w:uiPriority w:val="11"/>
    <w:qFormat/>
    <w:pPr>
      <w:widowControl w:val="1"/>
      <w:numPr>
        <w:ilvl w:val="1"/>
      </w:numPr>
      <w:spacing w:after="160" w:line="259" w:lineRule="auto"/>
      <w:ind/>
    </w:pPr>
    <w:rPr>
      <w:rFonts w:ascii="Cambria" w:hAnsi="Cambria"/>
      <w:i w:val="1"/>
      <w:color w:val="4F81BD"/>
      <w:spacing w:val="15"/>
      <w:sz w:val="24"/>
    </w:rPr>
  </w:style>
  <w:style w:styleId="Style_92_ch" w:type="character">
    <w:name w:val="Subtitle"/>
    <w:basedOn w:val="Style_4_ch"/>
    <w:link w:val="Style_92"/>
    <w:rPr>
      <w:rFonts w:ascii="Cambria" w:hAnsi="Cambria"/>
      <w:i w:val="1"/>
      <w:color w:val="4F81BD"/>
      <w:spacing w:val="15"/>
      <w:sz w:val="24"/>
    </w:rPr>
  </w:style>
  <w:style w:styleId="Style_93" w:type="paragraph">
    <w:name w:val="Заголовок 11"/>
    <w:basedOn w:val="Style_4"/>
    <w:next w:val="Style_4"/>
    <w:link w:val="Style_93_ch"/>
    <w:pPr>
      <w:keepNext w:val="1"/>
      <w:keepLines w:val="1"/>
      <w:pageBreakBefore w:val="1"/>
      <w:widowControl w:val="1"/>
      <w:spacing w:before="240" w:line="276" w:lineRule="auto"/>
      <w:ind/>
      <w:jc w:val="both"/>
      <w:outlineLvl w:val="0"/>
    </w:pPr>
    <w:rPr>
      <w:b w:val="1"/>
      <w:sz w:val="32"/>
    </w:rPr>
  </w:style>
  <w:style w:styleId="Style_93_ch" w:type="character">
    <w:name w:val="Заголовок 11"/>
    <w:basedOn w:val="Style_4_ch"/>
    <w:link w:val="Style_93"/>
    <w:rPr>
      <w:b w:val="1"/>
      <w:sz w:val="32"/>
    </w:rPr>
  </w:style>
  <w:style w:styleId="Style_94" w:type="paragraph">
    <w:name w:val="Title"/>
    <w:basedOn w:val="Style_4"/>
    <w:next w:val="Style_4"/>
    <w:link w:val="Style_94_ch"/>
    <w:uiPriority w:val="10"/>
    <w:qFormat/>
    <w:pPr>
      <w:widowControl w:val="1"/>
      <w:ind/>
      <w:contextualSpacing w:val="1"/>
    </w:pPr>
    <w:rPr>
      <w:rFonts w:ascii="Cambria" w:hAnsi="Cambria"/>
      <w:color w:val="17365D"/>
      <w:spacing w:val="5"/>
      <w:sz w:val="52"/>
    </w:rPr>
  </w:style>
  <w:style w:styleId="Style_94_ch" w:type="character">
    <w:name w:val="Title"/>
    <w:basedOn w:val="Style_4_ch"/>
    <w:link w:val="Style_94"/>
    <w:rPr>
      <w:rFonts w:ascii="Cambria" w:hAnsi="Cambria"/>
      <w:color w:val="17365D"/>
      <w:spacing w:val="5"/>
      <w:sz w:val="52"/>
    </w:rPr>
  </w:style>
  <w:style w:styleId="Style_95" w:type="paragraph">
    <w:name w:val="heading 4"/>
    <w:basedOn w:val="Style_4"/>
    <w:next w:val="Style_4"/>
    <w:link w:val="Style_95_ch"/>
    <w:uiPriority w:val="9"/>
    <w:qFormat/>
    <w:pPr>
      <w:keepNext w:val="1"/>
      <w:keepLines w:val="1"/>
      <w:widowControl w:val="1"/>
      <w:spacing w:before="40"/>
      <w:ind/>
      <w:outlineLvl w:val="3"/>
    </w:pPr>
    <w:rPr>
      <w:b w:val="1"/>
      <w:sz w:val="28"/>
    </w:rPr>
  </w:style>
  <w:style w:styleId="Style_95_ch" w:type="character">
    <w:name w:val="heading 4"/>
    <w:basedOn w:val="Style_4_ch"/>
    <w:link w:val="Style_95"/>
    <w:rPr>
      <w:b w:val="1"/>
      <w:sz w:val="28"/>
    </w:rPr>
  </w:style>
  <w:style w:styleId="Style_96" w:type="paragraph">
    <w:name w:val="Intense Quote"/>
    <w:basedOn w:val="Style_4"/>
    <w:next w:val="Style_4"/>
    <w:link w:val="Style_96_ch"/>
    <w:pPr>
      <w:widowControl w:val="1"/>
      <w:pBdr>
        <w:top w:space="10" w:sz="4" w:themeColor="accent1" w:val="single"/>
        <w:bottom w:space="10" w:sz="4" w:themeColor="accent1" w:val="single"/>
      </w:pBdr>
      <w:spacing w:after="360" w:before="360" w:line="259" w:lineRule="auto"/>
      <w:ind w:left="864" w:right="864"/>
      <w:jc w:val="center"/>
    </w:pPr>
    <w:rPr>
      <w:rFonts w:asciiTheme="minorAscii" w:hAnsiTheme="minorHAnsi"/>
      <w:b w:val="1"/>
      <w:i w:val="1"/>
      <w:color w:val="4F81BD"/>
      <w:sz w:val="22"/>
    </w:rPr>
  </w:style>
  <w:style w:styleId="Style_96_ch" w:type="character">
    <w:name w:val="Intense Quote"/>
    <w:basedOn w:val="Style_4_ch"/>
    <w:link w:val="Style_96"/>
    <w:rPr>
      <w:rFonts w:asciiTheme="minorAscii" w:hAnsiTheme="minorHAnsi"/>
      <w:b w:val="1"/>
      <w:i w:val="1"/>
      <w:color w:val="4F81BD"/>
      <w:sz w:val="22"/>
    </w:rPr>
  </w:style>
  <w:style w:styleId="Style_97" w:type="paragraph">
    <w:name w:val="description"/>
    <w:basedOn w:val="Style_4"/>
    <w:link w:val="Style_97_ch"/>
    <w:pPr>
      <w:widowControl w:val="1"/>
      <w:spacing w:afterAutospacing="on" w:beforeAutospacing="on"/>
      <w:ind/>
    </w:pPr>
    <w:rPr>
      <w:sz w:val="24"/>
    </w:rPr>
  </w:style>
  <w:style w:styleId="Style_97_ch" w:type="character">
    <w:name w:val="description"/>
    <w:basedOn w:val="Style_4_ch"/>
    <w:link w:val="Style_97"/>
    <w:rPr>
      <w:sz w:val="24"/>
    </w:rPr>
  </w:style>
  <w:style w:styleId="Style_98" w:type="paragraph">
    <w:name w:val="heading 2"/>
    <w:basedOn w:val="Style_4"/>
    <w:next w:val="Style_4"/>
    <w:link w:val="Style_98_ch"/>
    <w:uiPriority w:val="9"/>
    <w:qFormat/>
    <w:pPr>
      <w:keepNext w:val="1"/>
      <w:keepLines w:val="1"/>
      <w:widowControl w:val="1"/>
      <w:spacing w:before="40" w:line="259" w:lineRule="auto"/>
      <w:ind/>
      <w:outlineLvl w:val="1"/>
    </w:pPr>
    <w:rPr>
      <w:b w:val="1"/>
      <w:sz w:val="28"/>
    </w:rPr>
  </w:style>
  <w:style w:styleId="Style_98_ch" w:type="character">
    <w:name w:val="heading 2"/>
    <w:basedOn w:val="Style_4_ch"/>
    <w:link w:val="Style_98"/>
    <w:rPr>
      <w:b w:val="1"/>
      <w:sz w:val="28"/>
    </w:rPr>
  </w:style>
  <w:style w:styleId="Style_99" w:type="paragraph">
    <w:name w:val="Обычный (веб)1"/>
    <w:basedOn w:val="Style_4"/>
    <w:link w:val="Style_99_ch"/>
    <w:pPr>
      <w:widowControl w:val="1"/>
      <w:ind/>
    </w:pPr>
    <w:rPr>
      <w:sz w:val="24"/>
    </w:rPr>
  </w:style>
  <w:style w:styleId="Style_99_ch" w:type="character">
    <w:name w:val="Обычный (веб)1"/>
    <w:basedOn w:val="Style_4_ch"/>
    <w:link w:val="Style_99"/>
    <w:rPr>
      <w:sz w:val="24"/>
    </w:rPr>
  </w:style>
  <w:style w:styleId="Style_100" w:type="paragraph">
    <w:name w:val="Заголовок 8 Знак1"/>
    <w:basedOn w:val="Style_13"/>
    <w:link w:val="Style_100_ch"/>
    <w:rPr>
      <w:rFonts w:asciiTheme="majorAscii" w:hAnsiTheme="majorHAnsi"/>
      <w:color w:themeColor="text1" w:themeTint="D8" w:val="272727"/>
      <w:sz w:val="21"/>
    </w:rPr>
  </w:style>
  <w:style w:styleId="Style_100_ch" w:type="character">
    <w:name w:val="Заголовок 8 Знак1"/>
    <w:basedOn w:val="Style_13_ch"/>
    <w:link w:val="Style_100"/>
    <w:rPr>
      <w:rFonts w:asciiTheme="majorAscii" w:hAnsiTheme="majorHAnsi"/>
      <w:color w:themeColor="text1" w:themeTint="D8" w:val="272727"/>
      <w:sz w:val="21"/>
    </w:rPr>
  </w:style>
  <w:style w:styleId="Style_101" w:type="paragraph">
    <w:name w:val="header"/>
    <w:basedOn w:val="Style_4"/>
    <w:link w:val="Style_101_ch"/>
    <w:pPr>
      <w:widowControl w:val="1"/>
      <w:tabs>
        <w:tab w:leader="none" w:pos="4677" w:val="center"/>
        <w:tab w:leader="none" w:pos="9355" w:val="right"/>
      </w:tabs>
      <w:ind w:firstLine="709"/>
      <w:jc w:val="both"/>
    </w:pPr>
    <w:rPr>
      <w:sz w:val="28"/>
    </w:rPr>
  </w:style>
  <w:style w:styleId="Style_101_ch" w:type="character">
    <w:name w:val="header"/>
    <w:basedOn w:val="Style_4_ch"/>
    <w:link w:val="Style_101"/>
    <w:rPr>
      <w:sz w:val="28"/>
    </w:rPr>
  </w:style>
  <w:style w:styleId="Style_102" w:type="paragraph">
    <w:name w:val="Заголовок 5 Знак1"/>
    <w:basedOn w:val="Style_13"/>
    <w:link w:val="Style_102_ch"/>
    <w:rPr>
      <w:rFonts w:asciiTheme="majorAscii" w:hAnsiTheme="majorHAnsi"/>
      <w:color w:themeColor="accent1" w:themeShade="BF" w:val="2E75B5"/>
    </w:rPr>
  </w:style>
  <w:style w:styleId="Style_102_ch" w:type="character">
    <w:name w:val="Заголовок 5 Знак1"/>
    <w:basedOn w:val="Style_13_ch"/>
    <w:link w:val="Style_102"/>
    <w:rPr>
      <w:rFonts w:asciiTheme="majorAscii" w:hAnsiTheme="majorHAnsi"/>
      <w:color w:themeColor="accent1" w:themeShade="BF" w:val="2E75B5"/>
    </w:rPr>
  </w:style>
  <w:style w:styleId="Style_103" w:type="paragraph">
    <w:name w:val="heading 6"/>
    <w:basedOn w:val="Style_4"/>
    <w:next w:val="Style_4"/>
    <w:link w:val="Style_103_ch"/>
    <w:uiPriority w:val="9"/>
    <w:qFormat/>
    <w:pPr>
      <w:keepNext w:val="1"/>
      <w:keepLines w:val="1"/>
      <w:widowControl w:val="1"/>
      <w:spacing w:before="40"/>
      <w:ind/>
      <w:outlineLvl w:val="5"/>
    </w:pPr>
    <w:rPr>
      <w:b w:val="1"/>
      <w:sz w:val="28"/>
    </w:rPr>
  </w:style>
  <w:style w:styleId="Style_103_ch" w:type="character">
    <w:name w:val="heading 6"/>
    <w:basedOn w:val="Style_4_ch"/>
    <w:link w:val="Style_103"/>
    <w:rPr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Сетка таблицы15"/>
    <w:basedOn w:val="Style_3"/>
    <w:pPr>
      <w:widowControl w:val="1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" w:type="table">
    <w:name w:val="Сетка таблицы1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5" w:type="table">
    <w:name w:val="Сетка таблицы24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6" w:type="table">
    <w:name w:val="Table Grid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7" w:type="table">
    <w:name w:val="Сетка таблицы416"/>
    <w:basedOn w:val="Style_3"/>
    <w:pPr>
      <w:widowControl w:val="1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8" w:type="table">
    <w:name w:val="Сетка таблицы234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footer1.xml" Type="http://schemas.openxmlformats.org/officeDocument/2006/relationships/foot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2026-08-25T11:57:35Z</dcterms:created>
  <dcterms:modified xsi:type="dcterms:W3CDTF">2026-09-02T07:45:34Z</dcterms:modified>
</cp:coreProperties>
</file>