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DB" w:rsidRPr="00E52B04" w:rsidRDefault="002523DB" w:rsidP="002523DB">
      <w:pPr>
        <w:spacing w:after="1" w:line="258" w:lineRule="auto"/>
        <w:ind w:left="25" w:right="15" w:hanging="10"/>
        <w:jc w:val="center"/>
        <w:rPr>
          <w:sz w:val="28"/>
          <w:szCs w:val="28"/>
        </w:rPr>
      </w:pPr>
      <w:r w:rsidRPr="00E52B04">
        <w:rPr>
          <w:b/>
          <w:sz w:val="28"/>
          <w:szCs w:val="28"/>
        </w:rPr>
        <w:t>Информация о мерах поддержки налогоплательщиков, пострадавших в результате ЧС, по предоставлению отсрочки или рассрочки на уплату</w:t>
      </w:r>
    </w:p>
    <w:p w:rsidR="002523DB" w:rsidRPr="00E52B04" w:rsidRDefault="002523DB" w:rsidP="002523DB">
      <w:pPr>
        <w:spacing w:after="1" w:line="258" w:lineRule="auto"/>
        <w:ind w:left="25" w:hanging="10"/>
        <w:jc w:val="center"/>
        <w:rPr>
          <w:sz w:val="28"/>
          <w:szCs w:val="28"/>
        </w:rPr>
      </w:pPr>
      <w:r w:rsidRPr="00E52B04">
        <w:rPr>
          <w:b/>
          <w:sz w:val="28"/>
          <w:szCs w:val="28"/>
        </w:rPr>
        <w:t>налоговых платежей, предусмотренных Главой 9 Налогового кодекса</w:t>
      </w:r>
    </w:p>
    <w:p w:rsidR="002523DB" w:rsidRPr="00E52B04" w:rsidRDefault="002523DB" w:rsidP="002523DB">
      <w:pPr>
        <w:spacing w:after="1" w:line="258" w:lineRule="auto"/>
        <w:ind w:left="25" w:hanging="10"/>
        <w:jc w:val="center"/>
        <w:rPr>
          <w:sz w:val="28"/>
          <w:szCs w:val="28"/>
        </w:rPr>
      </w:pPr>
      <w:r w:rsidRPr="00E52B04">
        <w:rPr>
          <w:b/>
          <w:sz w:val="28"/>
          <w:szCs w:val="28"/>
        </w:rPr>
        <w:t xml:space="preserve">Российской Федерации </w:t>
      </w:r>
      <w:r w:rsidRPr="00E52B04">
        <w:rPr>
          <w:sz w:val="28"/>
          <w:szCs w:val="28"/>
        </w:rPr>
        <w:t>(далее – Кодекс)</w:t>
      </w:r>
    </w:p>
    <w:p w:rsidR="002523DB" w:rsidRPr="00E52B04" w:rsidRDefault="002523DB" w:rsidP="002523DB">
      <w:pPr>
        <w:ind w:left="15" w:right="-15"/>
        <w:jc w:val="both"/>
        <w:rPr>
          <w:sz w:val="28"/>
          <w:szCs w:val="28"/>
        </w:rPr>
      </w:pPr>
    </w:p>
    <w:p w:rsidR="002523DB" w:rsidRPr="00E52B04" w:rsidRDefault="002523DB" w:rsidP="002523DB">
      <w:pPr>
        <w:ind w:left="15" w:right="-15" w:firstLine="693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Отсрочка или рассрочка по уплате налога представляет собой изменение срока уплаты налога для отсрочек – на срок, не превышающий одного года, </w:t>
      </w:r>
      <w:r w:rsidRPr="00E52B04">
        <w:rPr>
          <w:sz w:val="28"/>
          <w:szCs w:val="28"/>
        </w:rPr>
        <w:br/>
        <w:t xml:space="preserve">с единовременной оплатой всей суммы задолженности, либо для рассрочек - на срок, не превышающий трех лет, с формированием графика погашения в части суммы задолженности ежемесячно либо ежеквартально. </w:t>
      </w:r>
    </w:p>
    <w:p w:rsidR="002523DB" w:rsidRPr="00E52B04" w:rsidRDefault="002523DB" w:rsidP="002523DB">
      <w:pPr>
        <w:ind w:left="15" w:right="-15" w:firstLine="688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Отсрочка или рассрочка может быть предоставлена налогоплательщику по его заявлению при наличии одного из следующих оснований: </w:t>
      </w:r>
    </w:p>
    <w:p w:rsidR="002523DB" w:rsidRPr="00E52B04" w:rsidRDefault="002523DB" w:rsidP="002523DB">
      <w:pPr>
        <w:numPr>
          <w:ilvl w:val="0"/>
          <w:numId w:val="4"/>
        </w:numPr>
        <w:spacing w:after="19" w:line="264" w:lineRule="auto"/>
        <w:ind w:right="-15" w:hanging="360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причинение этому налогоплательщику ущерба в результате стихийного бедствия или технологической катастрофы, </w:t>
      </w:r>
    </w:p>
    <w:p w:rsidR="002523DB" w:rsidRPr="00E52B04" w:rsidRDefault="002523DB" w:rsidP="002523DB">
      <w:pPr>
        <w:numPr>
          <w:ilvl w:val="0"/>
          <w:numId w:val="4"/>
        </w:numPr>
        <w:spacing w:after="19" w:line="264" w:lineRule="auto"/>
        <w:ind w:right="-15" w:hanging="360"/>
        <w:jc w:val="both"/>
        <w:rPr>
          <w:sz w:val="28"/>
          <w:szCs w:val="28"/>
        </w:rPr>
      </w:pPr>
      <w:proofErr w:type="spellStart"/>
      <w:r w:rsidRPr="00E52B04">
        <w:rPr>
          <w:sz w:val="28"/>
          <w:szCs w:val="28"/>
        </w:rPr>
        <w:t>недоведение</w:t>
      </w:r>
      <w:proofErr w:type="spellEnd"/>
      <w:r w:rsidRPr="00E52B04">
        <w:rPr>
          <w:sz w:val="28"/>
          <w:szCs w:val="28"/>
        </w:rPr>
        <w:t xml:space="preserve"> предельных объемов финансирования расходов </w:t>
      </w:r>
      <w:r w:rsidRPr="00E52B04">
        <w:rPr>
          <w:sz w:val="28"/>
          <w:szCs w:val="28"/>
        </w:rPr>
        <w:br/>
        <w:t xml:space="preserve">до заинтересованного лица - получателя бюджетных средств в объеме, достаточном для своевременной уплаты налогов, а также несвоевременное перечисление заинтересованному лицу из бюджета денежных средств в объеме, достаточном для своевременной уплаты этим лицом налогов, в том числе в счет оплаты, оказанных этим лицом услуг для государственных и муниципальных нужд, </w:t>
      </w:r>
    </w:p>
    <w:p w:rsidR="002523DB" w:rsidRPr="00E52B04" w:rsidRDefault="002523DB" w:rsidP="002523DB">
      <w:pPr>
        <w:numPr>
          <w:ilvl w:val="0"/>
          <w:numId w:val="4"/>
        </w:numPr>
        <w:spacing w:after="19" w:line="264" w:lineRule="auto"/>
        <w:ind w:right="-15" w:hanging="360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угроза возникновения признаков несостоятельности (банкротства) заинтересованного лица в случае единовременной уплаты им налога, </w:t>
      </w:r>
    </w:p>
    <w:p w:rsidR="002523DB" w:rsidRPr="00E52B04" w:rsidRDefault="002523DB" w:rsidP="002523DB">
      <w:pPr>
        <w:numPr>
          <w:ilvl w:val="0"/>
          <w:numId w:val="4"/>
        </w:numPr>
        <w:spacing w:after="19" w:line="264" w:lineRule="auto"/>
        <w:ind w:right="-15" w:hanging="360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производство и реализация товаров, работ или услуг заинтересованным лицом носит сезонный характер, </w:t>
      </w:r>
    </w:p>
    <w:p w:rsidR="002523DB" w:rsidRPr="00E52B04" w:rsidRDefault="002523DB" w:rsidP="002523DB">
      <w:pPr>
        <w:numPr>
          <w:ilvl w:val="0"/>
          <w:numId w:val="4"/>
        </w:numPr>
        <w:spacing w:after="19" w:line="264" w:lineRule="auto"/>
        <w:ind w:right="-15" w:hanging="360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невозможность единовременной уплаты сумм налогов, подлежащих уплате в бюджетную систему Российской Федерации по результатам налоговой проверки.  </w:t>
      </w:r>
    </w:p>
    <w:p w:rsidR="002523DB" w:rsidRPr="00E52B04" w:rsidRDefault="002523DB" w:rsidP="002523DB">
      <w:pPr>
        <w:spacing w:after="40" w:line="259" w:lineRule="auto"/>
        <w:ind w:left="10" w:right="-15" w:firstLine="693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Согласно п.3 ст.61 Кодекса отсрочка или рассрочка может быть предоставлена: </w:t>
      </w:r>
    </w:p>
    <w:p w:rsidR="002523DB" w:rsidRPr="00E52B04" w:rsidRDefault="002523DB" w:rsidP="002523DB">
      <w:pPr>
        <w:numPr>
          <w:ilvl w:val="0"/>
          <w:numId w:val="5"/>
        </w:numPr>
        <w:spacing w:after="19" w:line="264" w:lineRule="auto"/>
        <w:ind w:right="-15" w:hanging="360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по уплате налогов, сборов, страховых взносов, срок уплаты которых не наступил на день принятия уполномоченным органом решения в соответствии </w:t>
      </w:r>
      <w:r w:rsidRPr="00E52B04">
        <w:rPr>
          <w:sz w:val="28"/>
          <w:szCs w:val="28"/>
        </w:rPr>
        <w:br/>
        <w:t xml:space="preserve">с пунктом 9 статьи 64 Кодекса, - в отношении всей или части подлежащей уплате суммы налога, сбора, страхового взноса, </w:t>
      </w:r>
    </w:p>
    <w:p w:rsidR="002523DB" w:rsidRPr="00E52B04" w:rsidRDefault="002523DB" w:rsidP="002523DB">
      <w:pPr>
        <w:numPr>
          <w:ilvl w:val="0"/>
          <w:numId w:val="5"/>
        </w:numPr>
        <w:spacing w:after="19" w:line="264" w:lineRule="auto"/>
        <w:ind w:right="-15" w:hanging="360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по уплате задолженности - в отношении всей или части суммы отрицательного сальдо единого налогового счета заинтересованного лица при наличии отрицательного сальдо на день принятия уполномоченным органом решения в соответствии с пунктом 9 статьи 64 Кодекса. </w:t>
      </w:r>
    </w:p>
    <w:p w:rsidR="002523DB" w:rsidRPr="00E52B04" w:rsidRDefault="002523DB" w:rsidP="002523DB">
      <w:pPr>
        <w:ind w:left="15" w:right="-15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При этом предоставление отсрочки или рассрочки не отменяет существующей и не создает новой обязанности по уплате налогов. </w:t>
      </w:r>
    </w:p>
    <w:p w:rsidR="002523DB" w:rsidRPr="00E52B04" w:rsidRDefault="002523DB" w:rsidP="002523DB">
      <w:pPr>
        <w:spacing w:after="5" w:line="268" w:lineRule="auto"/>
        <w:ind w:left="-15" w:firstLine="698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Обязательным условием для рассмотрения вопроса о предоставлении отсрочки (рассрочки) является предоставление заинтересованным лицом полного пакета документов, предусмотренных пунктами 4, 5 статьи 64 Кодекса. </w:t>
      </w:r>
    </w:p>
    <w:p w:rsidR="002523DB" w:rsidRPr="00E52B04" w:rsidRDefault="002523DB" w:rsidP="002523DB">
      <w:pPr>
        <w:spacing w:after="5" w:line="268" w:lineRule="auto"/>
        <w:ind w:left="-15" w:firstLine="698"/>
        <w:jc w:val="both"/>
        <w:rPr>
          <w:sz w:val="28"/>
          <w:szCs w:val="28"/>
        </w:rPr>
      </w:pPr>
      <w:r w:rsidRPr="00E52B04">
        <w:rPr>
          <w:sz w:val="28"/>
          <w:szCs w:val="28"/>
        </w:rPr>
        <w:lastRenderedPageBreak/>
        <w:t xml:space="preserve">Кроме того, согласно п.9 ст.64 Кодекса в ходе рассмотрения заявления заинтересованного лица о предоставлении отсрочки или рассрочки уполномоченный орган в случае необходимости вправе запросить (в том числе у иных лиц) дополнительную информацию, с приостановлением срока принятия решения </w:t>
      </w:r>
      <w:r w:rsidRPr="00E52B04">
        <w:rPr>
          <w:sz w:val="28"/>
          <w:szCs w:val="28"/>
        </w:rPr>
        <w:br/>
        <w:t xml:space="preserve">о предоставлении отсрочки или рассрочки, но не более чем на 20 календарных дней. </w:t>
      </w:r>
    </w:p>
    <w:p w:rsidR="002523DB" w:rsidRPr="00E52B04" w:rsidRDefault="002523DB" w:rsidP="002523DB">
      <w:pPr>
        <w:spacing w:after="5" w:line="268" w:lineRule="auto"/>
        <w:ind w:left="-15" w:firstLine="698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Условия предоставления отсрочки (рассрочки) в соответствии </w:t>
      </w:r>
      <w:r w:rsidRPr="00E52B04">
        <w:rPr>
          <w:sz w:val="28"/>
          <w:szCs w:val="28"/>
        </w:rPr>
        <w:br/>
        <w:t xml:space="preserve">с Главой 9 Кодекса, в том числе порядок установления наличия оснований, предусмотренных пунктом 2 ст. 64 Кодекса, являются исчерпывающими </w:t>
      </w:r>
      <w:r w:rsidRPr="00E52B04">
        <w:rPr>
          <w:sz w:val="28"/>
          <w:szCs w:val="28"/>
        </w:rPr>
        <w:br/>
        <w:t xml:space="preserve">и равноправными для всех заинтересованных лиц. </w:t>
      </w:r>
    </w:p>
    <w:p w:rsidR="002523DB" w:rsidRPr="00E52B04" w:rsidRDefault="002523DB" w:rsidP="002523DB">
      <w:pPr>
        <w:ind w:left="15" w:right="-15" w:firstLine="668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Заявление о предоставлении отсрочки (рассрочки) по установленной форме подается в соответствующий уполномоченный орган (в сумме, не превышающей </w:t>
      </w:r>
      <w:r w:rsidRPr="00E52B04">
        <w:rPr>
          <w:sz w:val="28"/>
          <w:szCs w:val="28"/>
        </w:rPr>
        <w:br/>
        <w:t xml:space="preserve">50 млн руб. - в Управление Федеральной налоговой службы по Ростовской области; </w:t>
      </w:r>
      <w:r w:rsidRPr="00E52B04">
        <w:rPr>
          <w:sz w:val="28"/>
          <w:szCs w:val="28"/>
        </w:rPr>
        <w:br/>
        <w:t xml:space="preserve">в сумме, превышающей 50 млн руб. – в Межрегиональную инспекцию Федеральной налоговой службы по управлению долгом).  </w:t>
      </w:r>
    </w:p>
    <w:p w:rsidR="002523DB" w:rsidRPr="00E52B04" w:rsidRDefault="002523DB" w:rsidP="002523DB">
      <w:pPr>
        <w:ind w:left="15" w:right="-15" w:firstLine="668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К заявлению прилагаются документы, предусмотренные пунктами 4, 5 статьи 64 Кодекса. </w:t>
      </w:r>
    </w:p>
    <w:p w:rsidR="002523DB" w:rsidRPr="00E52B04" w:rsidRDefault="002523DB" w:rsidP="002523DB">
      <w:pPr>
        <w:ind w:left="15" w:right="-15" w:firstLine="668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Обращаем внимание, что отказ в предоставлении отсрочки (рассрочки) либо оставление заявления об отсрочке (рассрочке) без рассмотрения не препятствует повторному обращению в уполномоченный налоговый орган через личный кабинет налогоплательщика либо по телекоммуникационным каналам связи с заявлением </w:t>
      </w:r>
      <w:r w:rsidRPr="00E52B04">
        <w:rPr>
          <w:sz w:val="28"/>
          <w:szCs w:val="28"/>
        </w:rPr>
        <w:br/>
        <w:t xml:space="preserve">о предоставлении отсрочки (рассрочки) при наличии оснований, указанных в пункте 2 статьи 64 Кодекса, с приложением полного комплекта документов, в том числе </w:t>
      </w:r>
      <w:r w:rsidRPr="00E52B04">
        <w:rPr>
          <w:sz w:val="28"/>
          <w:szCs w:val="28"/>
        </w:rPr>
        <w:br/>
        <w:t>с указанием обеспечения исполнения обязанности по уплате налогов (банковской гарантии, залога недвижимого (иного ликвидного) имущества, поручительства платежеспособного лица).</w:t>
      </w:r>
    </w:p>
    <w:p w:rsidR="002523DB" w:rsidRPr="00E52B04" w:rsidRDefault="002523DB" w:rsidP="002523DB">
      <w:pPr>
        <w:ind w:left="15" w:right="-15"/>
        <w:jc w:val="both"/>
        <w:rPr>
          <w:sz w:val="28"/>
          <w:szCs w:val="28"/>
        </w:rPr>
      </w:pPr>
    </w:p>
    <w:p w:rsidR="002523DB" w:rsidRPr="00E52B04" w:rsidRDefault="002523DB" w:rsidP="002523DB">
      <w:pPr>
        <w:ind w:left="15" w:right="-15" w:firstLine="668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Кроме того, согласно пункту 1.3 статьи 284 Кодекса для сельскохозяйственных товаропроизводителей, отвечающих критериям, предусмотренным пунктом 2 статьи 346.2 Кодекса, налоговая ставка по налогу на прибыль организаций по деятельности, связанной с реализацией произведенной ими сельскохозяйственной продукции, </w:t>
      </w:r>
      <w:r w:rsidRPr="00E52B04">
        <w:rPr>
          <w:sz w:val="28"/>
          <w:szCs w:val="28"/>
        </w:rPr>
        <w:br/>
        <w:t xml:space="preserve">а также с реализацией, произведенной и переработанной данными налогоплательщиками собственной сельскохозяйственной продукции, устанавливается в размере 0 процентов. </w:t>
      </w:r>
    </w:p>
    <w:p w:rsidR="002523DB" w:rsidRPr="00E52B04" w:rsidRDefault="002523DB" w:rsidP="002523DB">
      <w:pPr>
        <w:ind w:left="15" w:right="-15" w:firstLine="668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Подпунктом 6 пункта 2 статьи 265 Кодекса предусмотрено, что </w:t>
      </w:r>
      <w:r w:rsidRPr="00E52B04">
        <w:rPr>
          <w:sz w:val="28"/>
          <w:szCs w:val="28"/>
        </w:rPr>
        <w:br/>
        <w:t xml:space="preserve">к внереализационным расходам приравниваются убытки, полученные налогоплательщиком в отчетном (налоговом) периоде в виде потери от стихийных бедствий, пожаров, аварий и других чрезвычайных ситуаций, включая затраты, связанные с предотвращением или ликвидацией последствий стихийных бедствий или чрезвычайных ситуаций. К таким потерям относится стоимость уничтоженных или испорченных запасов, товаров, материалов и иного имущества, принадлежащего организации. Убытки и затраты, связанные с предотвращением или ликвидацией последствий стихийных бедствий или чрезвычайных ситуаций, признаются для целей налогообложения в случае их документального подтверждения (пункт 1 статьи 252 Кодекса). </w:t>
      </w:r>
    </w:p>
    <w:p w:rsidR="002523DB" w:rsidRPr="00E52B04" w:rsidRDefault="002523DB" w:rsidP="002523DB">
      <w:pPr>
        <w:ind w:left="15" w:right="-15" w:firstLine="668"/>
        <w:jc w:val="both"/>
        <w:rPr>
          <w:sz w:val="28"/>
          <w:szCs w:val="28"/>
        </w:rPr>
      </w:pPr>
      <w:r w:rsidRPr="00E52B04">
        <w:rPr>
          <w:sz w:val="28"/>
          <w:szCs w:val="28"/>
        </w:rPr>
        <w:lastRenderedPageBreak/>
        <w:t xml:space="preserve">При применении специального налогового режима - единый сельскохозяйственный налог (ЕСХН) - полученные доходы в соответствии </w:t>
      </w:r>
      <w:r w:rsidRPr="00E52B04">
        <w:rPr>
          <w:sz w:val="28"/>
          <w:szCs w:val="28"/>
        </w:rPr>
        <w:br/>
        <w:t xml:space="preserve">с подпунктом 44 пункта 2 статьи 346.5 Кодекса налогоплательщиками уменьшаются на расходы в виде потерь от стихийных бедствий, пожаров, аварий, эпизоотий </w:t>
      </w:r>
      <w:r w:rsidRPr="00E52B04">
        <w:rPr>
          <w:sz w:val="28"/>
          <w:szCs w:val="28"/>
        </w:rPr>
        <w:br/>
        <w:t xml:space="preserve">и других чрезвычайных ситуаций, включая затраты, связанные с предотвращением </w:t>
      </w:r>
      <w:r w:rsidRPr="00E52B04">
        <w:rPr>
          <w:sz w:val="28"/>
          <w:szCs w:val="28"/>
        </w:rPr>
        <w:br/>
        <w:t xml:space="preserve">и ликвидацией их последствий.  </w:t>
      </w:r>
    </w:p>
    <w:p w:rsidR="002523DB" w:rsidRPr="00E52B04" w:rsidRDefault="002523DB" w:rsidP="002523DB">
      <w:pPr>
        <w:spacing w:after="389"/>
        <w:ind w:left="15" w:right="-15" w:firstLine="668"/>
        <w:jc w:val="both"/>
        <w:rPr>
          <w:sz w:val="28"/>
          <w:szCs w:val="28"/>
        </w:rPr>
      </w:pPr>
      <w:r w:rsidRPr="00E52B04">
        <w:rPr>
          <w:sz w:val="28"/>
          <w:szCs w:val="28"/>
        </w:rPr>
        <w:t xml:space="preserve">По налогу на имущество организаций, если основное средство утрачивает свой статус, выбывает в результате стихийного бедствия и иной чрезвычайной ситуации, объект теряет способность приносить экономическую выгоду (доход), его стоимость списывается с бухгалтерского учета и исключается из объектов обложения.  </w:t>
      </w:r>
    </w:p>
    <w:p w:rsidR="002523DB" w:rsidRPr="00E52B04" w:rsidRDefault="002523DB" w:rsidP="002523DB">
      <w:pPr>
        <w:spacing w:after="5" w:line="268" w:lineRule="auto"/>
        <w:ind w:left="-15" w:firstLine="698"/>
        <w:jc w:val="both"/>
        <w:rPr>
          <w:sz w:val="28"/>
          <w:szCs w:val="28"/>
        </w:rPr>
      </w:pPr>
      <w:r w:rsidRPr="00E52B04">
        <w:rPr>
          <w:sz w:val="28"/>
          <w:szCs w:val="28"/>
        </w:rPr>
        <w:t>Информация об условиях получения отсрочки (рассрочки) размещена на официальном сайте ФНС России:</w:t>
      </w:r>
      <w:hyperlink r:id="rId6">
        <w:r w:rsidRPr="00E52B04">
          <w:rPr>
            <w:sz w:val="28"/>
            <w:szCs w:val="28"/>
          </w:rPr>
          <w:t xml:space="preserve"> </w:t>
        </w:r>
      </w:hyperlink>
      <w:hyperlink r:id="rId7">
        <w:r w:rsidRPr="00E52B04">
          <w:rPr>
            <w:color w:val="0000FF"/>
            <w:sz w:val="28"/>
            <w:szCs w:val="28"/>
            <w:u w:val="single" w:color="0000FF"/>
          </w:rPr>
          <w:t>https://www.nalog.gov.ru</w:t>
        </w:r>
      </w:hyperlink>
      <w:r w:rsidRPr="00E52B04">
        <w:rPr>
          <w:color w:val="0000FF"/>
          <w:sz w:val="28"/>
          <w:szCs w:val="28"/>
          <w:u w:val="single" w:color="0000FF"/>
        </w:rPr>
        <w:t>.</w:t>
      </w:r>
      <w:r w:rsidRPr="00E52B04">
        <w:rPr>
          <w:color w:val="0000FF"/>
          <w:sz w:val="28"/>
          <w:szCs w:val="28"/>
        </w:rPr>
        <w:t xml:space="preserve"> </w:t>
      </w:r>
      <w:r w:rsidRPr="00E52B04">
        <w:rPr>
          <w:sz w:val="28"/>
          <w:szCs w:val="28"/>
        </w:rPr>
        <w:t xml:space="preserve">Также налогоплательщик может воспользоваться </w:t>
      </w:r>
      <w:hyperlink r:id="rId8"/>
      <w:r w:rsidRPr="00E52B04">
        <w:rPr>
          <w:sz w:val="28"/>
          <w:szCs w:val="28"/>
        </w:rPr>
        <w:t xml:space="preserve">помощью сервиса «Интерактивный помощник в получении рассрочки по уплате налога»: </w:t>
      </w:r>
      <w:hyperlink r:id="rId9">
        <w:r w:rsidRPr="00E52B04">
          <w:rPr>
            <w:color w:val="0000FF"/>
            <w:sz w:val="28"/>
            <w:szCs w:val="28"/>
            <w:u w:val="single" w:color="0000FF"/>
          </w:rPr>
          <w:t>https</w:t>
        </w:r>
      </w:hyperlink>
      <w:hyperlink r:id="rId10">
        <w:r w:rsidRPr="00E52B04">
          <w:rPr>
            <w:color w:val="0000FF"/>
            <w:sz w:val="28"/>
            <w:szCs w:val="28"/>
            <w:u w:val="single" w:color="0000FF"/>
          </w:rPr>
          <w:t>://</w:t>
        </w:r>
      </w:hyperlink>
      <w:hyperlink r:id="rId11">
        <w:r w:rsidRPr="00E52B04">
          <w:rPr>
            <w:color w:val="0000FF"/>
            <w:sz w:val="28"/>
            <w:szCs w:val="28"/>
            <w:u w:val="single" w:color="0000FF"/>
          </w:rPr>
          <w:t>www</w:t>
        </w:r>
      </w:hyperlink>
      <w:hyperlink r:id="rId12">
        <w:r w:rsidRPr="00E52B04">
          <w:rPr>
            <w:color w:val="0000FF"/>
            <w:sz w:val="28"/>
            <w:szCs w:val="28"/>
            <w:u w:val="single" w:color="0000FF"/>
          </w:rPr>
          <w:t>.</w:t>
        </w:r>
      </w:hyperlink>
      <w:hyperlink r:id="rId13">
        <w:r w:rsidRPr="00E52B04">
          <w:rPr>
            <w:color w:val="0000FF"/>
            <w:sz w:val="28"/>
            <w:szCs w:val="28"/>
            <w:u w:val="single" w:color="0000FF"/>
          </w:rPr>
          <w:t>nalog</w:t>
        </w:r>
      </w:hyperlink>
      <w:hyperlink r:id="rId14">
        <w:r w:rsidRPr="00E52B04">
          <w:rPr>
            <w:color w:val="0000FF"/>
            <w:sz w:val="28"/>
            <w:szCs w:val="28"/>
            <w:u w:val="single" w:color="0000FF"/>
          </w:rPr>
          <w:t>.</w:t>
        </w:r>
      </w:hyperlink>
      <w:hyperlink r:id="rId15">
        <w:r w:rsidRPr="00E52B04">
          <w:rPr>
            <w:color w:val="0000FF"/>
            <w:sz w:val="28"/>
            <w:szCs w:val="28"/>
            <w:u w:val="single" w:color="0000FF"/>
          </w:rPr>
          <w:t>gov</w:t>
        </w:r>
      </w:hyperlink>
      <w:hyperlink r:id="rId16">
        <w:r w:rsidRPr="00E52B04">
          <w:rPr>
            <w:color w:val="0000FF"/>
            <w:sz w:val="28"/>
            <w:szCs w:val="28"/>
            <w:u w:val="single" w:color="0000FF"/>
          </w:rPr>
          <w:t>.</w:t>
        </w:r>
      </w:hyperlink>
      <w:hyperlink r:id="rId17">
        <w:r w:rsidRPr="00E52B04">
          <w:rPr>
            <w:color w:val="0000FF"/>
            <w:sz w:val="28"/>
            <w:szCs w:val="28"/>
            <w:u w:val="single" w:color="0000FF"/>
          </w:rPr>
          <w:t>ru</w:t>
        </w:r>
      </w:hyperlink>
      <w:hyperlink r:id="rId18">
        <w:r w:rsidRPr="00E52B04">
          <w:rPr>
            <w:color w:val="0000FF"/>
            <w:sz w:val="28"/>
            <w:szCs w:val="28"/>
            <w:u w:val="single" w:color="0000FF"/>
          </w:rPr>
          <w:t>/</w:t>
        </w:r>
      </w:hyperlink>
      <w:hyperlink r:id="rId19">
        <w:r w:rsidRPr="00E52B04">
          <w:rPr>
            <w:color w:val="0000FF"/>
            <w:sz w:val="28"/>
            <w:szCs w:val="28"/>
            <w:u w:val="single" w:color="0000FF"/>
          </w:rPr>
          <w:t>rn</w:t>
        </w:r>
      </w:hyperlink>
      <w:hyperlink r:id="rId20">
        <w:r w:rsidRPr="00E52B04">
          <w:rPr>
            <w:color w:val="0000FF"/>
            <w:sz w:val="28"/>
            <w:szCs w:val="28"/>
            <w:u w:val="single" w:color="0000FF"/>
          </w:rPr>
          <w:t>77/</w:t>
        </w:r>
      </w:hyperlink>
      <w:hyperlink r:id="rId21">
        <w:r w:rsidRPr="00E52B04">
          <w:rPr>
            <w:color w:val="0000FF"/>
            <w:sz w:val="28"/>
            <w:szCs w:val="28"/>
            <w:u w:val="single" w:color="0000FF"/>
          </w:rPr>
          <w:t>rnp</w:t>
        </w:r>
      </w:hyperlink>
      <w:hyperlink r:id="rId22">
        <w:r w:rsidRPr="00E52B04">
          <w:rPr>
            <w:color w:val="0000FF"/>
            <w:sz w:val="28"/>
            <w:szCs w:val="28"/>
            <w:u w:val="single" w:color="0000FF"/>
          </w:rPr>
          <w:t>/</w:t>
        </w:r>
      </w:hyperlink>
      <w:hyperlink r:id="rId23">
        <w:r w:rsidRPr="00E52B04">
          <w:rPr>
            <w:sz w:val="28"/>
            <w:szCs w:val="28"/>
          </w:rPr>
          <w:t xml:space="preserve"> </w:t>
        </w:r>
      </w:hyperlink>
      <w:r w:rsidRPr="00E52B04">
        <w:rPr>
          <w:sz w:val="28"/>
          <w:szCs w:val="28"/>
        </w:rPr>
        <w:t>.</w:t>
      </w:r>
    </w:p>
    <w:p w:rsidR="002523DB" w:rsidRPr="00E52B04" w:rsidRDefault="002523DB" w:rsidP="002523DB">
      <w:pPr>
        <w:spacing w:line="268" w:lineRule="auto"/>
        <w:ind w:firstLine="698"/>
        <w:jc w:val="both"/>
        <w:rPr>
          <w:sz w:val="28"/>
          <w:szCs w:val="28"/>
        </w:rPr>
      </w:pPr>
      <w:r w:rsidRPr="00E52B04">
        <w:rPr>
          <w:i/>
          <w:sz w:val="28"/>
          <w:szCs w:val="28"/>
        </w:rPr>
        <w:t>Иные (дополнительные) меры поддержки налогоплательщиков, пострадавших в результате чрезвычайных ситуаций, действующим налоговым законодательством не предусмотрены</w:t>
      </w:r>
      <w:r>
        <w:rPr>
          <w:i/>
          <w:sz w:val="28"/>
          <w:szCs w:val="28"/>
        </w:rPr>
        <w:t>»</w:t>
      </w:r>
      <w:r w:rsidRPr="00E52B04">
        <w:rPr>
          <w:sz w:val="28"/>
          <w:szCs w:val="28"/>
        </w:rPr>
        <w:t xml:space="preserve">.  </w:t>
      </w:r>
    </w:p>
    <w:p w:rsidR="00ED3C6E" w:rsidRPr="002523DB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2523DB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52B50"/>
    <w:multiLevelType w:val="hybridMultilevel"/>
    <w:tmpl w:val="8C6E027E"/>
    <w:lvl w:ilvl="0" w:tplc="F2264ED8">
      <w:start w:val="1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E2973A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70941E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8441FC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5214E0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04804E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06402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C8908A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F87864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6640353"/>
    <w:multiLevelType w:val="hybridMultilevel"/>
    <w:tmpl w:val="82C069E6"/>
    <w:lvl w:ilvl="0" w:tplc="0C265386">
      <w:start w:val="1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267D0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16286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B4EB4E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604E8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AAD5A2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A6068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A856C2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DEF36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523DB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ED4119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2523D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2523DB"/>
    <w:rPr>
      <w:sz w:val="24"/>
      <w:szCs w:val="24"/>
    </w:rPr>
  </w:style>
  <w:style w:type="character" w:customStyle="1" w:styleId="aa">
    <w:name w:val="Основной текст_"/>
    <w:link w:val="10"/>
    <w:rsid w:val="002523DB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a"/>
    <w:rsid w:val="002523DB"/>
    <w:pPr>
      <w:widowControl w:val="0"/>
      <w:shd w:val="clear" w:color="auto" w:fill="FFFFFF"/>
      <w:spacing w:line="317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" TargetMode="External"/><Relationship Id="rId13" Type="http://schemas.openxmlformats.org/officeDocument/2006/relationships/hyperlink" Target="https://www.nalog.gov.ru/rn77/rnp/" TargetMode="External"/><Relationship Id="rId18" Type="http://schemas.openxmlformats.org/officeDocument/2006/relationships/hyperlink" Target="https://www.nalog.gov.ru/rn77/rnp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log.gov.ru/rn77/rnp/" TargetMode="External"/><Relationship Id="rId7" Type="http://schemas.openxmlformats.org/officeDocument/2006/relationships/hyperlink" Target="https://www.nalog.gov.ru/" TargetMode="External"/><Relationship Id="rId12" Type="http://schemas.openxmlformats.org/officeDocument/2006/relationships/hyperlink" Target="https://www.nalog.gov.ru/rn77/rnp/" TargetMode="External"/><Relationship Id="rId17" Type="http://schemas.openxmlformats.org/officeDocument/2006/relationships/hyperlink" Target="https://www.nalog.gov.ru/rn77/rnp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alog.gov.ru/rn77/rnp/" TargetMode="External"/><Relationship Id="rId20" Type="http://schemas.openxmlformats.org/officeDocument/2006/relationships/hyperlink" Target="https://www.nalog.gov.ru/rn77/rnp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gov.ru/" TargetMode="External"/><Relationship Id="rId11" Type="http://schemas.openxmlformats.org/officeDocument/2006/relationships/hyperlink" Target="https://www.nalog.gov.ru/rn77/rnp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alog.gov.ru/rn77/rnp/" TargetMode="External"/><Relationship Id="rId23" Type="http://schemas.openxmlformats.org/officeDocument/2006/relationships/hyperlink" Target="https://www.nalog.gov.ru/rn77/rnp/" TargetMode="External"/><Relationship Id="rId10" Type="http://schemas.openxmlformats.org/officeDocument/2006/relationships/hyperlink" Target="https://www.nalog.gov.ru/rn77/rnp/" TargetMode="External"/><Relationship Id="rId19" Type="http://schemas.openxmlformats.org/officeDocument/2006/relationships/hyperlink" Target="https://www.nalog.gov.ru/rn77/rn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7/rnp/" TargetMode="External"/><Relationship Id="rId14" Type="http://schemas.openxmlformats.org/officeDocument/2006/relationships/hyperlink" Target="https://www.nalog.gov.ru/rn77/rnp/" TargetMode="External"/><Relationship Id="rId22" Type="http://schemas.openxmlformats.org/officeDocument/2006/relationships/hyperlink" Target="https://www.nalog.gov.ru/rn77/rn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4EF80-B372-43CB-B20A-CECA75A1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2025-09-25T09:04:00Z</dcterms:modified>
</cp:coreProperties>
</file>