
<file path=[Content_Types].xml><?xml version="1.0" encoding="utf-8"?>
<Types xmlns="http://schemas.openxmlformats.org/package/2006/content-types">
  <Default ContentType="image/jpeg" Extension="jpeg"/>
  <Default ContentType="application/xml" Extension="xml"/>
  <Default ContentType="application/vnd.openxmlformats-package.relationships+xml" Extension="rels"/>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1" Target="word/document.xml" Type="http://schemas.openxmlformats.org/officeDocument/2006/relationships/officeDocument"/>
  <Relationship Id="rId2" Target="docProps/app.xml" Type="http://schemas.openxmlformats.org/officeDocument/2006/relationships/extended-properties"/>
  <Relationship Id="rId3" Target="docProps/core.xml" Type="http://schemas.openxmlformats.org/package/2006/relationships/metadata/core-properties"/>
</Relationships>

</file>

<file path=word/document.xml><?xml version="1.0" encoding="utf-8"?>
<w:documen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body>
    <w:p w14:paraId="06000000">
      <w:pPr>
        <w:ind/>
        <w:jc w:val="center"/>
      </w:pPr>
      <w:r>
        <mc:AlternateContent>
          <mc:Choice Requires="wps">
            <w:draw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wp:anchor allowOverlap="true" behindDoc="false" distB="0" distL="114300" distR="114300" distT="0" layoutInCell="true" locked="false" relativeHeight="251658240" simplePos="false">
                <wp:simplePos x="0" y="0"/>
                <wp:positionH relativeFrom="column">
                  <wp:posOffset>2780665</wp:posOffset>
                </wp:positionH>
                <wp:positionV relativeFrom="paragraph">
                  <wp:posOffset>-421005</wp:posOffset>
                </wp:positionV>
                <wp:extent cx="733425" cy="333375"/>
                <wp:wrapNone/>
                <wp:docPr hidden="false" id="4" name="Picture 4"/>
                <a:graphic>
                  <a:graphicData uri="http://schemas.microsoft.com/office/word/2010/wordprocessingShape">
                    <wps:wsp>
                      <wps:cNvSpPr txBox="false"/>
                      <wps:spPr>
                        <a:xfrm flipH="false" flipV="false" rot="0">
                          <a:off x="0" y="0"/>
                          <a:ext cx="733425" cy="333375"/>
                        </a:xfrm>
                        <a:prstGeom prst="rect">
                          <a:avLst/>
                        </a:prstGeom>
                        <a:solidFill>
                          <a:schemeClr val="bg1"/>
                        </a:solidFill>
                        <a:ln w="12700">
                          <a:solidFill>
                            <a:schemeClr val="bg1"/>
                          </a:solidFill>
                          <a:prstDash val="solid"/>
                        </a:ln>
                      </wps:spPr>
                      <wps:bodyPr anchor="ctr" bIns="45720" lIns="91440" rIns="91440" tIns="45720" vert="horz" wrap="square">
                        <a:noAutofit/>
                      </wps:bodyPr>
                    </wps:wsp>
                  </a:graphicData>
                </a:graphic>
              </wp:anchor>
            </w:drawing>
          </mc:Choice>
          <mc:Fallback>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Fallback>
        </mc:AlternateContent>
      </w:r>
      <w:r>
        <w:drawing>
          <wp:anchor allowOverlap="true" behindDoc="false" distB="0" distL="114300" distR="114300" distT="0" layoutInCell="true" locked="false" relativeHeight="251658240" simplePos="false">
            <wp:simplePos x="0" y="0"/>
            <wp:positionH relativeFrom="column">
              <wp:posOffset>2931160</wp:posOffset>
            </wp:positionH>
            <wp:positionV relativeFrom="paragraph">
              <wp:posOffset>68580</wp:posOffset>
            </wp:positionV>
            <wp:extent cx="571500" cy="723900"/>
            <wp:effectExtent b="0" l="0" r="0" t="0"/>
            <wp:wrapThrough distL="114300" distR="114300" wrapText="bothSides">
              <wp:wrapPolygon>
                <wp:start x="0" y="0"/>
                <wp:lineTo x="0" y="21032"/>
                <wp:lineTo x="20880" y="21032"/>
                <wp:lineTo x="20880" y="0"/>
                <wp:lineTo x="0" y="0"/>
              </wp:wrapPolygon>
            </wp:wrapThrough>
            <wp:docPr hidden="false" id="6" name="Picture 6"/>
            <a:graphic>
              <a:graphicData uri="http://schemas.openxmlformats.org/drawingml/2006/picture">
                <pic:pic>
                  <pic:nvPicPr>
                    <pic:cNvPr hidden="false" id="5" name="Picture 5"/>
                    <pic:cNvPicPr preferRelativeResize="true"/>
                  </pic:nvPicPr>
                  <pic:blipFill>
                    <a:blip r:embed="rId3"/>
                    <a:srcRect b="0" l="0" r="0" t="0"/>
                    <a:stretch/>
                  </pic:blipFill>
                  <pic:spPr>
                    <a:xfrm flipH="false" flipV="false" rot="0">
                      <a:ext cx="571500" cy="723900"/>
                    </a:xfrm>
                    <a:prstGeom prst="rect"/>
                  </pic:spPr>
                </pic:pic>
              </a:graphicData>
            </a:graphic>
          </wp:anchor>
        </w:drawing>
      </w:r>
    </w:p>
    <w:p w14:paraId="07000000">
      <w:pPr>
        <w:ind/>
        <w:jc w:val="center"/>
      </w:pPr>
    </w:p>
    <w:p w14:paraId="08000000">
      <w:pPr>
        <w:ind/>
        <w:jc w:val="center"/>
      </w:pPr>
    </w:p>
    <w:p w14:paraId="09000000">
      <w:pPr>
        <w:ind/>
        <w:jc w:val="center"/>
      </w:pPr>
    </w:p>
    <w:p w14:paraId="0A000000">
      <w:pPr>
        <w:ind/>
        <w:jc w:val="center"/>
      </w:pPr>
    </w:p>
    <w:p w14:paraId="0B000000">
      <w:pPr>
        <w:ind/>
        <w:jc w:val="center"/>
        <w:rPr>
          <w:sz w:val="28"/>
        </w:rPr>
      </w:pPr>
      <w:r>
        <w:rPr>
          <w:sz w:val="28"/>
        </w:rPr>
        <w:t>РОССИЙСКАЯ ФЕДЕРАЦИЯ</w:t>
      </w:r>
    </w:p>
    <w:p w14:paraId="0C000000">
      <w:pPr>
        <w:ind/>
        <w:jc w:val="center"/>
        <w:rPr>
          <w:sz w:val="28"/>
        </w:rPr>
      </w:pPr>
      <w:r>
        <w:rPr>
          <w:sz w:val="28"/>
        </w:rPr>
        <w:t>РОСТОВСКАЯ ОБЛАСТЬ</w:t>
      </w:r>
    </w:p>
    <w:p w14:paraId="0D000000">
      <w:pPr>
        <w:ind/>
        <w:jc w:val="center"/>
        <w:rPr>
          <w:sz w:val="28"/>
        </w:rPr>
      </w:pPr>
      <w:r>
        <w:rPr>
          <w:sz w:val="28"/>
        </w:rPr>
        <w:t>МУНИЦИПАЛЬНОЕ ОБРАЗОВАНИЕ «БЕЛОКАЛИТВИНСКИЙ РАЙОН»</w:t>
      </w:r>
    </w:p>
    <w:p w14:paraId="0E000000">
      <w:pPr>
        <w:ind/>
        <w:jc w:val="center"/>
        <w:rPr>
          <w:sz w:val="28"/>
        </w:rPr>
      </w:pPr>
      <w:r>
        <w:rPr>
          <w:sz w:val="28"/>
        </w:rPr>
        <w:t>АДМИНИСТРАЦИЯ БЕЛОКАЛИТВИНСКОГО РАЙОНА</w:t>
      </w:r>
    </w:p>
    <w:p w14:paraId="0F000000">
      <w:pPr>
        <w:ind/>
        <w:jc w:val="center"/>
      </w:pPr>
      <w:r>
        <w:t xml:space="preserve"> </w:t>
      </w:r>
    </w:p>
    <w:p w14:paraId="10000000">
      <w:pPr>
        <w:spacing w:afterAutospacing="on"/>
        <w:ind/>
        <w:jc w:val="center"/>
        <w:rPr>
          <w:b w:val="1"/>
          <w:sz w:val="28"/>
        </w:rPr>
      </w:pPr>
      <w:r>
        <w:rPr>
          <w:b w:val="1"/>
          <w:sz w:val="28"/>
        </w:rPr>
        <w:t>ПОСТАНОВЛЕНИЕ</w:t>
      </w:r>
    </w:p>
    <w:p w14:paraId="11000000">
      <w:pPr>
        <w:spacing w:afterAutospacing="on"/>
        <w:ind/>
        <w:jc w:val="center"/>
        <w:rPr>
          <w:sz w:val="28"/>
        </w:rPr>
      </w:pPr>
      <w:r>
        <w:rPr>
          <w:sz w:val="28"/>
        </w:rPr>
        <w:t>от ___.___.2026 № ______</w:t>
      </w:r>
      <w:r>
        <w:rPr>
          <w:sz w:val="28"/>
        </w:rPr>
        <mc:AlternateContent>
          <mc:Choice Requires="wps">
            <w:draw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wp:anchor allowOverlap="true" behindDoc="false" distB="0" distL="114300" distR="114300" distT="0" layoutInCell="true" locked="false" relativeHeight="251658240" simplePos="false">
                <wp:simplePos x="0" y="0"/>
                <wp:positionH relativeFrom="column">
                  <wp:posOffset>6293485</wp:posOffset>
                </wp:positionH>
                <wp:positionV relativeFrom="page">
                  <wp:posOffset>10000615</wp:posOffset>
                </wp:positionV>
                <wp:extent cx="308610" cy="308610"/>
                <wp:wrapNone/>
                <wp:docPr hidden="false" id="7" name="Picture 7"/>
                <a:graphic>
                  <a:graphicData uri="http://schemas.microsoft.com/office/word/2010/wordprocessingShape">
                    <wps:wsp>
                      <wps:cNvSpPr txBox="false"/>
                      <wps:spPr>
                        <a:xfrm flipH="false" flipV="false" rot="0">
                          <a:off x="0" y="0"/>
                          <a:ext cx="308610" cy="308610"/>
                        </a:xfrm>
                        <a:prstGeom prst="rect">
                          <a:avLst/>
                        </a:prstGeom>
                        <a:solidFill>
                          <a:schemeClr val="bg1"/>
                        </a:solidFill>
                        <a:ln w="12700">
                          <a:solidFill>
                            <a:schemeClr val="bg1"/>
                          </a:solidFill>
                          <a:prstDash val="solid"/>
                        </a:ln>
                      </wps:spPr>
                      <wps:txbx>
                        <w:txbxContent>
                          <w:p w14:paraId="12000000">
                            <w:pPr>
                              <w:pStyle w:val="Style_2"/>
                              <w:ind/>
                              <w:jc w:val="center"/>
                              <w:rPr>
                                <w:rFonts w:asciiTheme="minorAscii" w:hAnsiTheme="minorHAnsi"/>
                                <w:color w:themeColor="background1" w:val="FFFFFF"/>
                                <w:spacing w:val="0"/>
                              </w:rPr>
                            </w:pPr>
                          </w:p>
                        </w:txbxContent>
                      </wps:txbx>
                      <wps:bodyPr anchor="ctr" bIns="46800" lIns="90000" rIns="90000" tIns="46800" vert="horz" wrap="square">
                        <a:noAutofit/>
                      </wps:bodyPr>
                    </wps:wsp>
                  </a:graphicData>
                </a:graphic>
              </wp:anchor>
            </w:drawing>
          </mc:Choice>
          <mc:Fallback>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Fallback>
        </mc:AlternateContent>
      </w:r>
    </w:p>
    <w:p w14:paraId="13000000">
      <w:pPr>
        <w:spacing w:afterAutospacing="on"/>
        <w:ind/>
        <w:jc w:val="center"/>
        <w:rPr>
          <w:sz w:val="28"/>
        </w:rPr>
      </w:pPr>
      <w:r>
        <w:rPr>
          <w:sz w:val="28"/>
        </w:rPr>
        <w:t>г. Белая Калитва</w:t>
      </w:r>
    </w:p>
    <w:p w14:paraId="14000000">
      <w:pPr>
        <w:widowControl w:val="0"/>
        <w:tabs>
          <w:tab w:leader="none" w:pos="847" w:val="left"/>
          <w:tab w:leader="none" w:pos="4928" w:val="left"/>
        </w:tabs>
        <w:spacing w:line="228" w:lineRule="auto"/>
        <w:ind/>
        <w:jc w:val="center"/>
        <w:rPr>
          <w:b w:val="1"/>
          <w:sz w:val="28"/>
        </w:rPr>
      </w:pPr>
      <w:bookmarkStart w:id="1" w:name="Наименование"/>
      <w:bookmarkEnd w:id="1"/>
      <w:r>
        <w:rPr>
          <w:b w:val="1"/>
          <w:sz w:val="28"/>
        </w:rPr>
        <w:t>О внесении изменений в постановление</w:t>
      </w:r>
    </w:p>
    <w:p w14:paraId="15000000">
      <w:pPr>
        <w:widowControl w:val="0"/>
        <w:tabs>
          <w:tab w:leader="none" w:pos="847" w:val="left"/>
          <w:tab w:leader="none" w:pos="4928" w:val="left"/>
        </w:tabs>
        <w:spacing w:line="228" w:lineRule="auto"/>
        <w:ind/>
        <w:jc w:val="center"/>
        <w:rPr>
          <w:b w:val="1"/>
          <w:sz w:val="28"/>
        </w:rPr>
      </w:pPr>
      <w:r>
        <w:rPr>
          <w:b w:val="1"/>
          <w:sz w:val="28"/>
        </w:rPr>
        <w:t xml:space="preserve"> Администрации Белокалитвинского района от 07.12.2017 № 1904</w:t>
      </w:r>
    </w:p>
    <w:p w14:paraId="16000000">
      <w:pPr>
        <w:widowControl w:val="0"/>
        <w:tabs>
          <w:tab w:leader="none" w:pos="847" w:val="left"/>
          <w:tab w:leader="none" w:pos="4928" w:val="left"/>
        </w:tabs>
        <w:spacing w:line="228" w:lineRule="auto"/>
        <w:ind/>
        <w:jc w:val="both"/>
        <w:rPr>
          <w:sz w:val="28"/>
        </w:rPr>
      </w:pPr>
    </w:p>
    <w:p w14:paraId="17000000">
      <w:pPr>
        <w:widowControl w:val="0"/>
        <w:tabs>
          <w:tab w:leader="none" w:pos="847" w:val="left"/>
          <w:tab w:leader="none" w:pos="4928" w:val="left"/>
        </w:tabs>
        <w:spacing w:line="228" w:lineRule="auto"/>
        <w:ind/>
        <w:jc w:val="both"/>
        <w:rPr>
          <w:sz w:val="16"/>
        </w:rPr>
      </w:pPr>
      <w:r>
        <w:rPr>
          <w:sz w:val="28"/>
        </w:rPr>
        <w:tab/>
      </w:r>
      <w:r>
        <w:rPr>
          <w:sz w:val="28"/>
        </w:rPr>
        <w:t>В целях обеспечения реализации муниципальной программы Белокалитвинского района «Формирование современной городской среды на территории Белокалитвинского района», Администрация Белокалитвинског</w:t>
      </w:r>
      <w:r>
        <w:rPr>
          <w:sz w:val="28"/>
        </w:rPr>
        <w:t xml:space="preserve">о района </w:t>
      </w:r>
      <w:r>
        <w:rPr>
          <w:b w:val="1"/>
          <w:spacing w:val="20"/>
          <w:sz w:val="28"/>
        </w:rPr>
        <w:t>постановляет</w:t>
      </w:r>
      <w:r>
        <w:rPr>
          <w:b w:val="1"/>
          <w:sz w:val="28"/>
        </w:rPr>
        <w:t>:</w:t>
      </w:r>
    </w:p>
    <w:p w14:paraId="18000000">
      <w:pPr>
        <w:widowControl w:val="0"/>
        <w:tabs>
          <w:tab w:leader="none" w:pos="709" w:val="left"/>
          <w:tab w:leader="none" w:pos="4928" w:val="left"/>
        </w:tabs>
        <w:spacing w:line="228" w:lineRule="auto"/>
        <w:ind/>
        <w:jc w:val="both"/>
        <w:rPr>
          <w:sz w:val="16"/>
        </w:rPr>
      </w:pPr>
    </w:p>
    <w:p w14:paraId="19000000">
      <w:pPr>
        <w:widowControl w:val="0"/>
        <w:numPr>
          <w:ilvl w:val="0"/>
          <w:numId w:val="1"/>
        </w:numPr>
        <w:tabs>
          <w:tab w:leader="none" w:pos="993" w:val="left"/>
        </w:tabs>
        <w:spacing w:line="228" w:lineRule="auto"/>
        <w:ind w:firstLine="567" w:left="0" w:right="-29"/>
        <w:contextualSpacing w:val="1"/>
        <w:jc w:val="both"/>
        <w:rPr>
          <w:sz w:val="28"/>
        </w:rPr>
      </w:pPr>
      <w:r>
        <w:rPr>
          <w:sz w:val="28"/>
        </w:rPr>
        <w:t xml:space="preserve">Внести в приложение к постановлению Администрации Белокалитвинского района от 07.12.2017 № 1904 «Об утверждении муниципальной программы Белокалитвинского района «Формирование современной городской среды на территории </w:t>
      </w:r>
      <w:r>
        <w:rPr>
          <w:sz w:val="28"/>
        </w:rPr>
        <w:t xml:space="preserve">Белокалитвинского района» изменения согласно </w:t>
      </w:r>
      <w:r>
        <w:rPr>
          <w:sz w:val="28"/>
        </w:rPr>
        <w:t>приложению</w:t>
      </w:r>
      <w:r>
        <w:rPr>
          <w:sz w:val="28"/>
        </w:rPr>
        <w:t xml:space="preserve"> к настоящему постановлению.</w:t>
      </w:r>
    </w:p>
    <w:p w14:paraId="1A000000">
      <w:pPr>
        <w:widowControl w:val="0"/>
        <w:numPr>
          <w:ilvl w:val="0"/>
          <w:numId w:val="1"/>
        </w:numPr>
        <w:tabs>
          <w:tab w:leader="none" w:pos="993" w:val="left"/>
        </w:tabs>
        <w:spacing w:line="228" w:lineRule="auto"/>
        <w:ind w:firstLine="567" w:left="0"/>
        <w:contextualSpacing w:val="1"/>
        <w:jc w:val="both"/>
        <w:rPr>
          <w:sz w:val="28"/>
        </w:rPr>
      </w:pPr>
      <w:r>
        <w:rPr>
          <w:sz w:val="28"/>
        </w:rPr>
        <w:t>Настоящее постановление вступает в силу после официального опубликования.</w:t>
      </w:r>
    </w:p>
    <w:p w14:paraId="1B000000">
      <w:pPr>
        <w:widowControl w:val="0"/>
        <w:numPr>
          <w:ilvl w:val="0"/>
          <w:numId w:val="1"/>
        </w:numPr>
        <w:tabs>
          <w:tab w:leader="none" w:pos="993" w:val="left"/>
        </w:tabs>
        <w:spacing w:line="228" w:lineRule="auto"/>
        <w:ind w:firstLine="567" w:left="0"/>
        <w:contextualSpacing w:val="1"/>
        <w:jc w:val="both"/>
        <w:rPr>
          <w:sz w:val="28"/>
        </w:rPr>
      </w:pPr>
      <w:r>
        <w:rPr>
          <w:sz w:val="28"/>
        </w:rPr>
        <w:t>Контроль за исполнением постановления возложить на первого заместителя главы Администрации Белокал</w:t>
      </w:r>
      <w:r>
        <w:rPr>
          <w:sz w:val="28"/>
        </w:rPr>
        <w:t>итвинского района по жилищно-коммунальному хозяйству и делам ГО и ЧС Голубова В.Г.</w:t>
      </w:r>
    </w:p>
    <w:p w14:paraId="1C000000">
      <w:pPr>
        <w:widowControl w:val="0"/>
        <w:tabs>
          <w:tab w:leader="none" w:pos="993" w:val="left"/>
        </w:tabs>
        <w:spacing w:line="228" w:lineRule="auto"/>
        <w:ind w:left="567"/>
        <w:contextualSpacing w:val="1"/>
        <w:jc w:val="both"/>
        <w:rPr>
          <w:sz w:val="28"/>
        </w:rPr>
      </w:pPr>
    </w:p>
    <w:p w14:paraId="1D000000">
      <w:pPr>
        <w:widowControl w:val="0"/>
        <w:tabs>
          <w:tab w:leader="none" w:pos="993" w:val="left"/>
        </w:tabs>
        <w:spacing w:line="228" w:lineRule="auto"/>
        <w:ind/>
        <w:contextualSpacing w:val="1"/>
        <w:jc w:val="both"/>
        <w:rPr>
          <w:sz w:val="28"/>
        </w:rPr>
      </w:pPr>
      <w:r>
        <w:rPr>
          <w:sz w:val="28"/>
        </w:rPr>
        <w:t xml:space="preserve">Глава Администрации </w:t>
      </w:r>
    </w:p>
    <w:p w14:paraId="1E000000">
      <w:pPr>
        <w:widowControl w:val="0"/>
        <w:tabs>
          <w:tab w:leader="none" w:pos="993" w:val="left"/>
        </w:tabs>
        <w:spacing w:line="228" w:lineRule="auto"/>
        <w:ind/>
        <w:contextualSpacing w:val="1"/>
        <w:jc w:val="both"/>
        <w:rPr>
          <w:sz w:val="28"/>
        </w:rPr>
      </w:pPr>
      <w:r>
        <w:rPr>
          <w:sz w:val="28"/>
        </w:rPr>
        <w:t xml:space="preserve">Белокалитвинского района                                                        </w:t>
      </w:r>
      <w:r>
        <w:rPr>
          <w:sz w:val="28"/>
        </w:rPr>
        <w:t xml:space="preserve">    </w:t>
      </w:r>
      <w:r>
        <w:rPr>
          <w:sz w:val="28"/>
        </w:rPr>
        <w:t xml:space="preserve">        О.А. Мельникова</w:t>
      </w:r>
    </w:p>
    <w:p w14:paraId="1F000000">
      <w:pPr>
        <w:keepNext w:val="1"/>
        <w:ind/>
        <w:outlineLvl w:val="1"/>
        <w:rPr>
          <w:color w:val="000000"/>
          <w:sz w:val="28"/>
        </w:rPr>
      </w:pPr>
    </w:p>
    <w:p w14:paraId="20000000">
      <w:pPr>
        <w:keepNext w:val="1"/>
        <w:ind/>
        <w:outlineLvl w:val="1"/>
        <w:rPr>
          <w:color w:val="000000"/>
          <w:sz w:val="28"/>
        </w:rPr>
      </w:pPr>
    </w:p>
    <w:p w14:paraId="21000000">
      <w:pPr>
        <w:keepNext w:val="1"/>
        <w:ind/>
        <w:outlineLvl w:val="1"/>
        <w:rPr>
          <w:color w:val="FFFFFF"/>
          <w:sz w:val="28"/>
        </w:rPr>
      </w:pPr>
      <w:r>
        <w:rPr>
          <w:color w:val="FFFFFF"/>
          <w:sz w:val="28"/>
        </w:rPr>
        <w:t xml:space="preserve">Согласовано: </w:t>
      </w:r>
    </w:p>
    <w:p w14:paraId="22000000">
      <w:pPr>
        <w:rPr>
          <w:color w:val="FFFFFF"/>
          <w:sz w:val="28"/>
        </w:rPr>
      </w:pPr>
      <w:r>
        <w:rPr>
          <w:color w:val="FFFFFF"/>
          <w:sz w:val="28"/>
        </w:rPr>
        <w:t>Заместитель главы Администра</w:t>
      </w:r>
      <w:r>
        <w:rPr>
          <w:color w:val="FFFFFF"/>
          <w:sz w:val="28"/>
        </w:rPr>
        <w:t>ции</w:t>
      </w:r>
    </w:p>
    <w:p w14:paraId="23000000">
      <w:pPr>
        <w:rPr>
          <w:color w:val="FFFFFF"/>
          <w:sz w:val="28"/>
        </w:rPr>
      </w:pPr>
      <w:r>
        <w:rPr>
          <w:color w:val="FFFFFF"/>
          <w:sz w:val="28"/>
        </w:rPr>
        <w:t xml:space="preserve">по организационной и кадровой работе                                      </w:t>
      </w:r>
      <w:r>
        <w:rPr>
          <w:color w:val="FFFFFF"/>
          <w:sz w:val="28"/>
        </w:rPr>
        <w:t xml:space="preserve">    </w:t>
      </w:r>
      <w:r>
        <w:rPr>
          <w:color w:val="FFFFFF"/>
          <w:sz w:val="28"/>
        </w:rPr>
        <w:t xml:space="preserve">     Л.Г. Василенко</w:t>
      </w:r>
    </w:p>
    <w:p w14:paraId="24000000">
      <w:pPr>
        <w:rPr>
          <w:color w:val="FFFFFF"/>
          <w:sz w:val="28"/>
        </w:rPr>
      </w:pPr>
    </w:p>
    <w:p w14:paraId="25000000">
      <w:pPr>
        <w:rPr>
          <w:color w:val="FFFFFF"/>
          <w:sz w:val="28"/>
        </w:rPr>
      </w:pPr>
      <w:r>
        <w:rPr>
          <w:color w:val="FFFFFF"/>
          <w:sz w:val="28"/>
        </w:rPr>
        <w:t>Начальник</w:t>
      </w:r>
      <w:r>
        <w:rPr>
          <w:color w:val="FFFFFF"/>
          <w:sz w:val="28"/>
        </w:rPr>
        <w:t xml:space="preserve"> юридического отдела</w:t>
      </w:r>
      <w:r>
        <w:rPr>
          <w:color w:val="FFFFFF"/>
          <w:sz w:val="28"/>
        </w:rPr>
        <w:tab/>
      </w:r>
      <w:r>
        <w:rPr>
          <w:color w:val="FFFFFF"/>
          <w:sz w:val="28"/>
        </w:rPr>
        <w:t xml:space="preserve">                                </w:t>
      </w:r>
      <w:r>
        <w:rPr>
          <w:color w:val="FFFFFF"/>
          <w:sz w:val="28"/>
        </w:rPr>
        <w:t xml:space="preserve">    </w:t>
      </w:r>
      <w:r>
        <w:rPr>
          <w:color w:val="FFFFFF"/>
          <w:sz w:val="28"/>
        </w:rPr>
        <w:t xml:space="preserve">                  С.Ю. Лукьянов</w:t>
      </w:r>
    </w:p>
    <w:p w14:paraId="26000000">
      <w:pPr>
        <w:ind/>
        <w:jc w:val="center"/>
        <w:rPr>
          <w:color w:val="000000"/>
          <w:sz w:val="28"/>
        </w:rPr>
      </w:pPr>
    </w:p>
    <w:p w14:paraId="27000000">
      <w:pPr>
        <w:rPr>
          <w:color w:val="000000"/>
          <w:sz w:val="28"/>
        </w:rPr>
      </w:pPr>
      <w:r>
        <w:rPr>
          <w:color w:val="000000"/>
          <w:sz w:val="28"/>
        </w:rPr>
        <w:t>Проект вносит:</w:t>
      </w:r>
    </w:p>
    <w:p w14:paraId="28000000">
      <w:pPr>
        <w:rPr>
          <w:sz w:val="28"/>
        </w:rPr>
      </w:pPr>
      <w:r>
        <w:rPr>
          <w:sz w:val="28"/>
        </w:rPr>
        <w:t>Н</w:t>
      </w:r>
      <w:r>
        <w:rPr>
          <w:sz w:val="28"/>
        </w:rPr>
        <w:t xml:space="preserve">ачальник </w:t>
      </w:r>
      <w:r>
        <w:rPr>
          <w:sz w:val="28"/>
        </w:rPr>
        <w:t>отдела</w:t>
      </w:r>
      <w:r>
        <w:rPr>
          <w:sz w:val="28"/>
        </w:rPr>
        <w:t xml:space="preserve"> </w:t>
      </w:r>
      <w:r>
        <w:rPr>
          <w:sz w:val="28"/>
        </w:rPr>
        <w:t xml:space="preserve">ЖКХ                                            </w:t>
      </w:r>
      <w:r>
        <w:rPr>
          <w:sz w:val="28"/>
        </w:rPr>
        <w:t xml:space="preserve">    </w:t>
      </w:r>
      <w:r>
        <w:rPr>
          <w:sz w:val="28"/>
        </w:rPr>
        <w:t xml:space="preserve">                          Т.В. </w:t>
      </w:r>
      <w:r>
        <w:rPr>
          <w:sz w:val="28"/>
        </w:rPr>
        <w:t>Атмашкина</w:t>
      </w:r>
    </w:p>
    <w:p w14:paraId="29000000">
      <w:pPr>
        <w:ind/>
        <w:jc w:val="both"/>
        <w:rPr>
          <w:color w:val="FFFFFF"/>
          <w:sz w:val="28"/>
        </w:rPr>
      </w:pPr>
    </w:p>
    <w:p w14:paraId="2A000000">
      <w:pPr>
        <w:ind/>
        <w:jc w:val="both"/>
        <w:rPr>
          <w:color w:val="FFFFFF"/>
          <w:sz w:val="28"/>
        </w:rPr>
      </w:pPr>
      <w:r>
        <w:rPr>
          <w:color w:val="FFFFFF"/>
          <w:sz w:val="28"/>
        </w:rPr>
        <w:t>ов</w:t>
      </w:r>
    </w:p>
    <w:p w14:paraId="2B000000">
      <w:pPr>
        <w:ind/>
        <w:jc w:val="center"/>
        <w:rPr>
          <w:color w:val="FFFFFF"/>
          <w:sz w:val="28"/>
        </w:rPr>
      </w:pPr>
    </w:p>
    <w:tbl>
      <w:tblPr>
        <w:tblStyle w:val="Style_3"/>
        <w:tblW w:type="auto" w:w="0"/>
        <w:jc w:val="right"/>
        <w:tblLayout w:type="fixed"/>
      </w:tblPr>
      <w:tblGrid>
        <w:gridCol w:w="3390"/>
      </w:tblGrid>
      <w:tr>
        <w:tc>
          <w:tcPr>
            <w:tcW w:type="dxa" w:w="3390"/>
            <w:shd w:fill="auto" w:val="clear"/>
            <w:tcMar>
              <w:top w:type="dxa" w:w="0"/>
              <w:left w:type="dxa" w:w="108"/>
              <w:bottom w:type="dxa" w:w="0"/>
              <w:right w:type="dxa" w:w="108"/>
            </w:tcMar>
          </w:tcPr>
          <w:p w14:paraId="2C000000">
            <w:pPr>
              <w:ind/>
              <w:jc w:val="right"/>
              <w:rPr>
                <w:color w:val="000000"/>
              </w:rPr>
            </w:pPr>
            <w:r>
              <w:rPr>
                <w:color w:val="000000"/>
                <w:sz w:val="28"/>
              </w:rPr>
              <w:t xml:space="preserve"> </w:t>
            </w:r>
            <w:r>
              <w:rPr>
                <w:color w:val="000000"/>
              </w:rPr>
              <w:t xml:space="preserve">Приложение </w:t>
            </w:r>
          </w:p>
          <w:p w14:paraId="2D000000">
            <w:pPr>
              <w:ind/>
              <w:jc w:val="right"/>
              <w:rPr>
                <w:color w:val="000000"/>
              </w:rPr>
            </w:pPr>
            <w:r>
              <w:rPr>
                <w:color w:val="000000"/>
              </w:rPr>
              <w:t>к постановлению Администрации</w:t>
            </w:r>
          </w:p>
          <w:p w14:paraId="2E000000">
            <w:pPr>
              <w:ind/>
              <w:jc w:val="right"/>
              <w:rPr>
                <w:color w:val="000000"/>
              </w:rPr>
            </w:pPr>
            <w:r>
              <w:rPr>
                <w:color w:val="000000"/>
              </w:rPr>
              <w:t>Белокалитвинского района</w:t>
            </w:r>
          </w:p>
          <w:p w14:paraId="2F000000">
            <w:pPr>
              <w:ind/>
              <w:jc w:val="right"/>
              <w:rPr>
                <w:color w:val="000000"/>
                <w:sz w:val="22"/>
              </w:rPr>
            </w:pPr>
            <w:r>
              <w:rPr>
                <w:color w:val="000000"/>
              </w:rPr>
              <w:t>от __________№ ____</w:t>
            </w:r>
          </w:p>
        </w:tc>
      </w:tr>
    </w:tbl>
    <w:p w14:paraId="30000000">
      <w:pPr>
        <w:ind w:left="567" w:right="424"/>
        <w:jc w:val="center"/>
        <w:rPr>
          <w:sz w:val="28"/>
        </w:rPr>
      </w:pPr>
    </w:p>
    <w:p w14:paraId="31000000">
      <w:pPr>
        <w:ind w:left="567" w:right="424"/>
        <w:jc w:val="center"/>
        <w:rPr>
          <w:sz w:val="28"/>
        </w:rPr>
      </w:pPr>
      <w:r>
        <w:rPr>
          <w:sz w:val="28"/>
        </w:rPr>
        <w:t xml:space="preserve">ИЗМЕНЕНИЯ, </w:t>
      </w:r>
    </w:p>
    <w:p w14:paraId="32000000">
      <w:pPr>
        <w:ind w:left="567" w:right="424"/>
        <w:jc w:val="center"/>
        <w:rPr>
          <w:sz w:val="28"/>
        </w:rPr>
      </w:pPr>
      <w:r>
        <w:rPr>
          <w:sz w:val="28"/>
        </w:rPr>
        <w:t>вносимые в приложение к постановлению</w:t>
      </w:r>
    </w:p>
    <w:p w14:paraId="33000000">
      <w:pPr>
        <w:ind w:left="567" w:right="424"/>
        <w:jc w:val="center"/>
        <w:rPr>
          <w:sz w:val="28"/>
        </w:rPr>
      </w:pPr>
      <w:r>
        <w:rPr>
          <w:sz w:val="28"/>
        </w:rPr>
        <w:t xml:space="preserve">Администрации </w:t>
      </w:r>
      <w:r>
        <w:rPr>
          <w:sz w:val="28"/>
        </w:rPr>
        <w:t>Белокалитвинского района от 07.12.2017 № 1904</w:t>
      </w:r>
    </w:p>
    <w:p w14:paraId="34000000">
      <w:pPr>
        <w:ind w:left="567" w:right="424"/>
        <w:jc w:val="center"/>
        <w:rPr>
          <w:sz w:val="28"/>
        </w:rPr>
      </w:pPr>
      <w:r>
        <w:rPr>
          <w:sz w:val="28"/>
        </w:rPr>
        <w:t>«Об утверждении муниципальной программы Белокалитвинского района «Формирование современной городской среды на территории Белокалитвинского района»</w:t>
      </w:r>
    </w:p>
    <w:p w14:paraId="35000000">
      <w:pPr>
        <w:ind/>
        <w:jc w:val="center"/>
        <w:rPr>
          <w:sz w:val="28"/>
        </w:rPr>
      </w:pPr>
    </w:p>
    <w:p w14:paraId="36000000">
      <w:pPr>
        <w:ind/>
        <w:jc w:val="center"/>
        <w:rPr>
          <w:sz w:val="28"/>
        </w:rPr>
      </w:pPr>
    </w:p>
    <w:p w14:paraId="37000000">
      <w:pPr>
        <w:numPr>
          <w:ilvl w:val="3"/>
          <w:numId w:val="2"/>
        </w:numPr>
        <w:tabs>
          <w:tab w:leader="none" w:pos="1134" w:val="left"/>
        </w:tabs>
        <w:ind w:firstLine="709" w:left="0"/>
        <w:contextualSpacing w:val="1"/>
        <w:jc w:val="both"/>
        <w:rPr>
          <w:sz w:val="28"/>
        </w:rPr>
      </w:pPr>
      <w:r>
        <w:rPr>
          <w:sz w:val="28"/>
        </w:rPr>
        <w:t>В разделе II. «Паспорт муниципальной программы Белокалитвинск</w:t>
      </w:r>
      <w:r>
        <w:rPr>
          <w:sz w:val="28"/>
        </w:rPr>
        <w:t>ого района «Формирование современной городской среды на территории Белокалитвинского района»:</w:t>
      </w:r>
    </w:p>
    <w:p w14:paraId="38000000">
      <w:pPr>
        <w:ind w:firstLine="709"/>
        <w:jc w:val="both"/>
        <w:rPr>
          <w:sz w:val="28"/>
          <w:shd w:fill="FFD821" w:val="clear"/>
        </w:rPr>
      </w:pPr>
      <w:r>
        <w:rPr>
          <w:sz w:val="28"/>
        </w:rPr>
        <w:t xml:space="preserve">1.1 Подпункт 1.5. пункта 1. «Основные положения» изложить в следующей редакции: «Параметры финансового обеспечения муниципальной программы – </w:t>
      </w:r>
      <w:r>
        <w:rPr>
          <w:sz w:val="28"/>
        </w:rPr>
        <w:br/>
      </w:r>
      <w:r>
        <w:rPr>
          <w:sz w:val="28"/>
        </w:rPr>
        <w:t>547 897,3 тыс. рубле</w:t>
      </w:r>
      <w:r>
        <w:rPr>
          <w:sz w:val="28"/>
        </w:rPr>
        <w:t xml:space="preserve">й: этап I: 409 590,7 тыс. рублей; этап II: </w:t>
      </w:r>
      <w:r>
        <w:rPr>
          <w:rFonts w:ascii="Times New Roman" w:hAnsi="Times New Roman"/>
          <w:color w:val="000000"/>
          <w:sz w:val="28"/>
        </w:rPr>
        <w:t>138 306,6</w:t>
      </w:r>
      <w:r>
        <w:rPr>
          <w:sz w:val="28"/>
        </w:rPr>
        <w:t xml:space="preserve"> </w:t>
      </w:r>
      <w:r>
        <w:rPr>
          <w:sz w:val="28"/>
        </w:rPr>
        <w:t>т</w:t>
      </w:r>
      <w:r>
        <w:rPr>
          <w:sz w:val="28"/>
        </w:rPr>
        <w:t>ыс. рублей».</w:t>
      </w:r>
    </w:p>
    <w:p w14:paraId="39000000">
      <w:pPr>
        <w:ind w:left="567" w:right="424"/>
        <w:jc w:val="right"/>
        <w:rPr>
          <w:color w:val="00000A"/>
          <w:sz w:val="28"/>
        </w:rPr>
      </w:pPr>
    </w:p>
    <w:p w14:paraId="3A000000">
      <w:pPr>
        <w:widowControl w:val="0"/>
        <w:ind/>
        <w:outlineLvl w:val="2"/>
        <w:rPr>
          <w:sz w:val="28"/>
        </w:rPr>
      </w:pPr>
      <w:r>
        <w:rPr>
          <w:sz w:val="28"/>
        </w:rPr>
        <w:t xml:space="preserve">       </w:t>
      </w:r>
    </w:p>
    <w:p w14:paraId="3B000000">
      <w:pPr>
        <w:sectPr>
          <w:headerReference r:id="rId1" w:type="default"/>
          <w:pgSz w:h="16838" w:orient="portrait" w:w="11906"/>
          <w:pgMar w:bottom="284" w:footer="709" w:gutter="0" w:header="426" w:left="1134" w:right="567" w:top="1217"/>
        </w:sectPr>
      </w:pPr>
    </w:p>
    <w:p w14:paraId="3C000000">
      <w:pPr>
        <w:ind w:firstLine="709"/>
        <w:jc w:val="both"/>
        <w:rPr>
          <w:sz w:val="28"/>
        </w:rPr>
      </w:pPr>
      <w:r>
        <w:rPr>
          <w:sz w:val="28"/>
        </w:rPr>
        <w:t>1.2. Пункт 4 «Параметры финансового обеспечения муниципальной программы» изложить в следующей редакции:</w:t>
      </w:r>
    </w:p>
    <w:p w14:paraId="3D000000">
      <w:pPr>
        <w:ind/>
        <w:jc w:val="center"/>
        <w:rPr>
          <w:sz w:val="28"/>
        </w:rPr>
      </w:pPr>
    </w:p>
    <w:p w14:paraId="3E000000">
      <w:pPr>
        <w:ind/>
        <w:jc w:val="center"/>
        <w:rPr>
          <w:sz w:val="28"/>
        </w:rPr>
      </w:pPr>
      <w:r>
        <w:rPr>
          <w:sz w:val="28"/>
        </w:rPr>
        <w:t>4. Параметры финансового обеспечения муниципальной программы</w:t>
      </w:r>
    </w:p>
    <w:p w14:paraId="3F000000">
      <w:pPr>
        <w:ind/>
        <w:jc w:val="center"/>
        <w:rPr>
          <w:sz w:val="28"/>
        </w:rPr>
      </w:pPr>
    </w:p>
    <w:tbl>
      <w:tblPr>
        <w:tblStyle w:val="Style_3"/>
        <w:tblW w:type="auto" w:w="0"/>
        <w:tblInd w:type="dxa" w:w="-5"/>
        <w:tblBorders>
          <w:top w:color="000000" w:sz="4" w:val="single"/>
          <w:left w:color="000000" w:sz="4" w:val="single"/>
          <w:bottom w:color="000000" w:sz="4" w:val="single"/>
          <w:right w:color="000000" w:sz="4" w:val="single"/>
          <w:insideH w:color="000000" w:sz="4" w:val="single"/>
          <w:insideV w:color="000000" w:sz="4" w:val="single"/>
        </w:tblBorders>
        <w:tblLayout w:type="fixed"/>
        <w:tblCellMar>
          <w:top w:type="dxa" w:w="102"/>
          <w:left w:type="dxa" w:w="62"/>
          <w:bottom w:type="dxa" w:w="102"/>
          <w:right w:type="dxa" w:w="62"/>
        </w:tblCellMar>
      </w:tblPr>
      <w:tblGrid>
        <w:gridCol w:w="567"/>
        <w:gridCol w:w="7657"/>
        <w:gridCol w:w="1418"/>
        <w:gridCol w:w="1376"/>
        <w:gridCol w:w="1308"/>
        <w:gridCol w:w="1221"/>
        <w:gridCol w:w="1605"/>
      </w:tblGrid>
      <w:tr>
        <w:trPr>
          <w:trHeight w:hRule="atLeast" w:val="319"/>
        </w:trPr>
        <w:tc>
          <w:tcPr>
            <w:tcW w:type="dxa" w:w="567"/>
            <w:vMerge w:val="restart"/>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40000000">
            <w:pPr>
              <w:ind/>
              <w:jc w:val="both"/>
              <w:rPr>
                <w:sz w:val="24"/>
              </w:rPr>
            </w:pPr>
            <w:r>
              <w:rPr>
                <w:sz w:val="24"/>
              </w:rPr>
              <w:t>№</w:t>
            </w:r>
          </w:p>
          <w:p w14:paraId="41000000">
            <w:pPr>
              <w:ind/>
              <w:jc w:val="both"/>
              <w:rPr>
                <w:sz w:val="24"/>
              </w:rPr>
            </w:pPr>
            <w:r>
              <w:rPr>
                <w:sz w:val="24"/>
              </w:rPr>
              <w:t>п/п</w:t>
            </w:r>
          </w:p>
        </w:tc>
        <w:tc>
          <w:tcPr>
            <w:tcW w:type="dxa" w:w="7657"/>
            <w:vMerge w:val="restart"/>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42000000">
            <w:pPr>
              <w:ind/>
              <w:jc w:val="both"/>
              <w:rPr>
                <w:sz w:val="24"/>
              </w:rPr>
            </w:pPr>
            <w:r>
              <w:rPr>
                <w:sz w:val="24"/>
              </w:rPr>
              <w:t>Наименование муниципальной программы, структурного элемента, источник финансового обеспечения</w:t>
            </w:r>
          </w:p>
        </w:tc>
        <w:tc>
          <w:tcPr>
            <w:tcW w:type="dxa" w:w="6928"/>
            <w:gridSpan w:val="5"/>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43000000">
            <w:pPr>
              <w:ind/>
              <w:jc w:val="center"/>
              <w:rPr>
                <w:sz w:val="24"/>
              </w:rPr>
            </w:pPr>
            <w:r>
              <w:rPr>
                <w:sz w:val="24"/>
              </w:rPr>
              <w:t>Объем расходов по годам реализации, (тыс. рублей)</w:t>
            </w:r>
          </w:p>
        </w:tc>
      </w:tr>
      <w:tr>
        <w:trPr>
          <w:trHeight w:hRule="atLeast" w:val="72"/>
        </w:trPr>
        <w:tc>
          <w:tcPr>
            <w:tcW w:type="dxa" w:w="567"/>
            <w:gridSpan w:val="1"/>
            <w:vMerge w:val="continue"/>
            <w:tcBorders>
              <w:top w:color="000000" w:sz="4" w:val="single"/>
              <w:left w:color="000000" w:sz="4" w:val="single"/>
              <w:bottom w:color="000000" w:sz="4" w:val="single"/>
              <w:right w:color="000000" w:sz="4" w:val="single"/>
            </w:tcBorders>
            <w:tcMar>
              <w:top w:type="dxa" w:w="102"/>
              <w:left w:type="dxa" w:w="62"/>
              <w:bottom w:type="dxa" w:w="102"/>
              <w:right w:type="dxa" w:w="62"/>
            </w:tcMar>
          </w:tcPr>
          <w:p/>
        </w:tc>
        <w:tc>
          <w:tcPr>
            <w:tcW w:type="dxa" w:w="7657"/>
            <w:gridSpan w:val="1"/>
            <w:vMerge w:val="continue"/>
            <w:tcBorders>
              <w:top w:color="000000" w:sz="4" w:val="single"/>
              <w:left w:color="000000" w:sz="4" w:val="single"/>
              <w:bottom w:color="000000" w:sz="4" w:val="single"/>
              <w:right w:color="000000" w:sz="4" w:val="single"/>
            </w:tcBorders>
            <w:tcMar>
              <w:top w:type="dxa" w:w="102"/>
              <w:left w:type="dxa" w:w="62"/>
              <w:bottom w:type="dxa" w:w="102"/>
              <w:right w:type="dxa" w:w="62"/>
            </w:tcMar>
          </w:tcPr>
          <w:p/>
        </w:tc>
        <w:tc>
          <w:tcPr>
            <w:tcW w:type="dxa" w:w="1418"/>
            <w:tcBorders>
              <w:top w:color="000000" w:sz="4" w:val="single"/>
              <w:left w:color="000000" w:sz="4" w:val="single"/>
              <w:bottom w:color="000000" w:sz="6" w:val="single"/>
              <w:right w:color="000000" w:sz="4" w:val="single"/>
            </w:tcBorders>
            <w:tcMar>
              <w:top w:type="dxa" w:w="102"/>
              <w:left w:type="dxa" w:w="62"/>
              <w:bottom w:type="dxa" w:w="102"/>
              <w:right w:type="dxa" w:w="62"/>
            </w:tcMar>
          </w:tcPr>
          <w:p w14:paraId="44000000">
            <w:pPr>
              <w:ind/>
              <w:jc w:val="center"/>
              <w:rPr>
                <w:sz w:val="24"/>
              </w:rPr>
            </w:pPr>
            <w:r>
              <w:rPr>
                <w:sz w:val="24"/>
              </w:rPr>
              <w:t>2025 год</w:t>
            </w:r>
          </w:p>
        </w:tc>
        <w:tc>
          <w:tcPr>
            <w:tcW w:type="dxa" w:w="1376"/>
            <w:tcBorders>
              <w:top w:color="000000" w:sz="4" w:val="single"/>
              <w:left w:color="000000" w:sz="4" w:val="single"/>
              <w:bottom w:color="000000" w:sz="6" w:val="single"/>
              <w:right w:color="000000" w:sz="4" w:val="single"/>
            </w:tcBorders>
            <w:tcMar>
              <w:top w:type="dxa" w:w="102"/>
              <w:left w:type="dxa" w:w="62"/>
              <w:bottom w:type="dxa" w:w="102"/>
              <w:right w:type="dxa" w:w="62"/>
            </w:tcMar>
          </w:tcPr>
          <w:p w14:paraId="45000000">
            <w:pPr>
              <w:ind/>
              <w:jc w:val="center"/>
              <w:rPr>
                <w:sz w:val="24"/>
              </w:rPr>
            </w:pPr>
            <w:r>
              <w:rPr>
                <w:sz w:val="24"/>
              </w:rPr>
              <w:t>2026 год</w:t>
            </w:r>
          </w:p>
        </w:tc>
        <w:tc>
          <w:tcPr>
            <w:tcW w:type="dxa" w:w="1308"/>
            <w:tcBorders>
              <w:top w:color="000000" w:sz="4" w:val="single"/>
              <w:left w:color="000000" w:sz="4" w:val="single"/>
              <w:bottom w:color="000000" w:sz="6" w:val="single"/>
              <w:right w:color="000000" w:sz="4" w:val="single"/>
            </w:tcBorders>
            <w:tcMar>
              <w:top w:type="dxa" w:w="102"/>
              <w:left w:type="dxa" w:w="62"/>
              <w:bottom w:type="dxa" w:w="102"/>
              <w:right w:type="dxa" w:w="62"/>
            </w:tcMar>
          </w:tcPr>
          <w:p w14:paraId="46000000">
            <w:pPr>
              <w:ind/>
              <w:jc w:val="center"/>
              <w:rPr>
                <w:sz w:val="24"/>
              </w:rPr>
            </w:pPr>
            <w:r>
              <w:rPr>
                <w:sz w:val="24"/>
              </w:rPr>
              <w:t>2027 год</w:t>
            </w:r>
          </w:p>
        </w:tc>
        <w:tc>
          <w:tcPr>
            <w:tcW w:type="dxa" w:w="1221"/>
            <w:tcBorders>
              <w:top w:color="000000" w:sz="4" w:val="single"/>
              <w:left w:color="000000" w:sz="4" w:val="single"/>
              <w:bottom w:color="000000" w:sz="6" w:val="single"/>
              <w:right w:color="000000" w:sz="4" w:val="single"/>
            </w:tcBorders>
            <w:tcMar>
              <w:top w:type="dxa" w:w="102"/>
              <w:left w:type="dxa" w:w="62"/>
              <w:bottom w:type="dxa" w:w="102"/>
              <w:right w:type="dxa" w:w="62"/>
            </w:tcMar>
          </w:tcPr>
          <w:p w14:paraId="47000000">
            <w:pPr>
              <w:ind/>
              <w:jc w:val="center"/>
              <w:rPr>
                <w:sz w:val="24"/>
              </w:rPr>
            </w:pPr>
            <w:r>
              <w:rPr>
                <w:sz w:val="24"/>
              </w:rPr>
              <w:t>2028 год</w:t>
            </w:r>
          </w:p>
        </w:tc>
        <w:tc>
          <w:tcPr>
            <w:tcW w:type="dxa" w:w="1605"/>
            <w:tcBorders>
              <w:top w:color="000000" w:sz="4" w:val="single"/>
              <w:left w:color="000000" w:sz="4" w:val="single"/>
              <w:bottom w:color="000000" w:sz="6" w:val="single"/>
              <w:right w:color="000000" w:sz="4" w:val="single"/>
            </w:tcBorders>
            <w:tcMar>
              <w:top w:type="dxa" w:w="102"/>
              <w:left w:type="dxa" w:w="62"/>
              <w:bottom w:type="dxa" w:w="102"/>
              <w:right w:type="dxa" w:w="62"/>
            </w:tcMar>
          </w:tcPr>
          <w:p w14:paraId="48000000">
            <w:pPr>
              <w:ind/>
              <w:jc w:val="center"/>
              <w:rPr>
                <w:sz w:val="24"/>
              </w:rPr>
            </w:pPr>
            <w:r>
              <w:rPr>
                <w:sz w:val="24"/>
              </w:rPr>
              <w:t>Всего</w:t>
            </w:r>
          </w:p>
        </w:tc>
      </w:tr>
      <w:tr>
        <w:trPr>
          <w:trHeight w:hRule="atLeast" w:val="565"/>
        </w:trPr>
        <w:tc>
          <w:tcPr>
            <w:tcW w:type="dxa" w:w="567"/>
            <w:vMerge w:val="restart"/>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49000000">
            <w:pPr>
              <w:ind/>
              <w:jc w:val="center"/>
              <w:rPr>
                <w:sz w:val="24"/>
              </w:rPr>
            </w:pPr>
            <w:r>
              <w:rPr>
                <w:sz w:val="24"/>
              </w:rPr>
              <w:t>1.</w:t>
            </w:r>
          </w:p>
        </w:tc>
        <w:tc>
          <w:tcPr>
            <w:tcW w:type="dxa" w:w="7657"/>
            <w:tcBorders>
              <w:top w:color="000000" w:sz="4" w:val="single"/>
              <w:left w:color="000000" w:sz="4" w:val="single"/>
              <w:bottom w:color="000000" w:sz="4" w:val="single"/>
              <w:right w:color="000000" w:sz="6" w:val="single"/>
            </w:tcBorders>
            <w:tcMar>
              <w:top w:type="dxa" w:w="102"/>
              <w:left w:type="dxa" w:w="62"/>
              <w:bottom w:type="dxa" w:w="102"/>
              <w:right w:type="dxa" w:w="62"/>
            </w:tcMar>
          </w:tcPr>
          <w:p w14:paraId="4A000000">
            <w:pPr>
              <w:rPr>
                <w:sz w:val="24"/>
              </w:rPr>
            </w:pPr>
            <w:r>
              <w:rPr>
                <w:sz w:val="24"/>
              </w:rPr>
              <w:t>Муниципальная программа Белокалитвинского района «Формирование современной городской среды на территории Белокалитвинского района» (всего), в том числе:</w:t>
            </w:r>
          </w:p>
        </w:tc>
        <w:tc>
          <w:tcPr>
            <w:tcW w:type="dxa" w:w="1418"/>
            <w:tcBorders>
              <w:top w:color="000000" w:sz="6" w:val="single"/>
              <w:left w:color="000000" w:sz="6" w:val="single"/>
              <w:bottom w:color="000000" w:sz="6" w:val="single"/>
              <w:right w:color="000000" w:sz="6" w:val="single"/>
            </w:tcBorders>
            <w:tcMar>
              <w:top w:type="dxa" w:w="102"/>
              <w:left w:type="dxa" w:w="62"/>
              <w:bottom w:type="dxa" w:w="102"/>
              <w:right w:type="dxa" w:w="62"/>
            </w:tcMar>
            <w:vAlign w:val="center"/>
          </w:tcPr>
          <w:p w14:paraId="4B000000">
            <w:pPr>
              <w:ind/>
              <w:jc w:val="center"/>
              <w:rPr>
                <w:rFonts w:ascii="Times New Roman" w:hAnsi="Times New Roman"/>
                <w:color w:val="000000"/>
                <w:sz w:val="24"/>
              </w:rPr>
            </w:pPr>
            <w:r>
              <w:rPr>
                <w:rFonts w:ascii="Times New Roman" w:hAnsi="Times New Roman"/>
                <w:color w:val="000000"/>
                <w:sz w:val="24"/>
              </w:rPr>
              <w:t>56 296,7</w:t>
            </w:r>
          </w:p>
        </w:tc>
        <w:tc>
          <w:tcPr>
            <w:tcW w:type="dxa" w:w="1376"/>
            <w:tcBorders>
              <w:top w:color="000000" w:sz="6" w:val="single"/>
              <w:left w:color="000000" w:sz="6" w:val="single"/>
              <w:bottom w:color="000000" w:sz="6" w:val="single"/>
              <w:right w:color="000000" w:sz="6" w:val="single"/>
            </w:tcBorders>
            <w:tcMar>
              <w:top w:type="dxa" w:w="102"/>
              <w:left w:type="dxa" w:w="62"/>
              <w:bottom w:type="dxa" w:w="102"/>
              <w:right w:type="dxa" w:w="62"/>
            </w:tcMar>
            <w:vAlign w:val="center"/>
          </w:tcPr>
          <w:p w14:paraId="4C000000">
            <w:pPr>
              <w:ind/>
              <w:jc w:val="center"/>
              <w:rPr>
                <w:rFonts w:ascii="Times New Roman" w:hAnsi="Times New Roman"/>
                <w:color w:val="000000"/>
                <w:sz w:val="24"/>
              </w:rPr>
            </w:pPr>
            <w:r>
              <w:rPr>
                <w:rFonts w:ascii="Times New Roman" w:hAnsi="Times New Roman"/>
                <w:color w:val="000000"/>
                <w:sz w:val="24"/>
              </w:rPr>
              <w:t>32 240,8</w:t>
            </w:r>
          </w:p>
        </w:tc>
        <w:tc>
          <w:tcPr>
            <w:tcW w:type="dxa" w:w="1308"/>
            <w:tcBorders>
              <w:top w:color="000000" w:sz="6" w:val="single"/>
              <w:left w:color="000000" w:sz="6" w:val="single"/>
              <w:bottom w:color="000000" w:sz="6" w:val="single"/>
              <w:right w:color="000000" w:sz="6" w:val="single"/>
            </w:tcBorders>
            <w:tcMar>
              <w:top w:type="dxa" w:w="102"/>
              <w:left w:type="dxa" w:w="62"/>
              <w:bottom w:type="dxa" w:w="102"/>
              <w:right w:type="dxa" w:w="62"/>
            </w:tcMar>
            <w:vAlign w:val="center"/>
          </w:tcPr>
          <w:p w14:paraId="4D000000">
            <w:pPr>
              <w:ind/>
              <w:jc w:val="center"/>
              <w:rPr>
                <w:rFonts w:ascii="Times New Roman" w:hAnsi="Times New Roman"/>
                <w:color w:val="000000"/>
                <w:sz w:val="24"/>
              </w:rPr>
            </w:pPr>
            <w:r>
              <w:rPr>
                <w:rFonts w:ascii="Times New Roman" w:hAnsi="Times New Roman"/>
                <w:color w:val="000000"/>
                <w:sz w:val="24"/>
              </w:rPr>
              <w:t>24 739,3</w:t>
            </w:r>
          </w:p>
        </w:tc>
        <w:tc>
          <w:tcPr>
            <w:tcW w:type="dxa" w:w="1221"/>
            <w:tcBorders>
              <w:top w:color="000000" w:sz="6" w:val="single"/>
              <w:left w:color="000000" w:sz="6" w:val="single"/>
              <w:bottom w:color="000000" w:sz="6" w:val="single"/>
              <w:right w:color="000000" w:sz="6" w:val="single"/>
            </w:tcBorders>
            <w:tcMar>
              <w:top w:type="dxa" w:w="102"/>
              <w:left w:type="dxa" w:w="62"/>
              <w:bottom w:type="dxa" w:w="102"/>
              <w:right w:type="dxa" w:w="62"/>
            </w:tcMar>
            <w:vAlign w:val="center"/>
          </w:tcPr>
          <w:p w14:paraId="4E000000">
            <w:pPr>
              <w:ind/>
              <w:jc w:val="center"/>
              <w:rPr>
                <w:rFonts w:ascii="Times New Roman" w:hAnsi="Times New Roman"/>
                <w:color w:val="000000"/>
                <w:sz w:val="24"/>
              </w:rPr>
            </w:pPr>
            <w:r>
              <w:rPr>
                <w:rFonts w:ascii="Times New Roman" w:hAnsi="Times New Roman"/>
                <w:color w:val="000000"/>
                <w:sz w:val="24"/>
              </w:rPr>
              <w:t>25 029,8</w:t>
            </w:r>
          </w:p>
        </w:tc>
        <w:tc>
          <w:tcPr>
            <w:tcW w:type="dxa" w:w="1605"/>
            <w:tcBorders>
              <w:top w:color="000000" w:sz="6" w:val="single"/>
              <w:left w:color="000000" w:sz="6" w:val="single"/>
              <w:bottom w:color="000000" w:sz="6" w:val="single"/>
              <w:right w:color="000000" w:sz="6" w:val="single"/>
            </w:tcBorders>
            <w:tcMar>
              <w:top w:type="dxa" w:w="102"/>
              <w:left w:type="dxa" w:w="62"/>
              <w:bottom w:type="dxa" w:w="102"/>
              <w:right w:type="dxa" w:w="62"/>
            </w:tcMar>
            <w:vAlign w:val="center"/>
          </w:tcPr>
          <w:p w14:paraId="4F000000">
            <w:pPr>
              <w:ind/>
              <w:jc w:val="center"/>
              <w:rPr>
                <w:rFonts w:ascii="Times New Roman" w:hAnsi="Times New Roman"/>
                <w:color w:val="000000"/>
                <w:sz w:val="24"/>
              </w:rPr>
            </w:pPr>
            <w:r>
              <w:rPr>
                <w:rFonts w:ascii="Times New Roman" w:hAnsi="Times New Roman"/>
                <w:color w:val="000000"/>
                <w:sz w:val="24"/>
              </w:rPr>
              <w:t>138 306,6</w:t>
            </w:r>
          </w:p>
        </w:tc>
      </w:tr>
      <w:tr>
        <w:trPr>
          <w:trHeight w:hRule="atLeast" w:val="221"/>
        </w:trPr>
        <w:tc>
          <w:tcPr>
            <w:tcW w:type="dxa" w:w="567"/>
            <w:gridSpan w:val="1"/>
            <w:vMerge w:val="continue"/>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tc>
        <w:tc>
          <w:tcPr>
            <w:tcW w:type="dxa" w:w="7657"/>
            <w:tcBorders>
              <w:top w:color="000000" w:sz="4" w:val="single"/>
              <w:left w:color="000000" w:sz="4" w:val="single"/>
              <w:bottom w:color="000000" w:sz="4" w:val="single"/>
              <w:right w:color="000000" w:sz="6" w:val="single"/>
            </w:tcBorders>
            <w:tcMar>
              <w:top w:type="dxa" w:w="102"/>
              <w:left w:type="dxa" w:w="62"/>
              <w:bottom w:type="dxa" w:w="102"/>
              <w:right w:type="dxa" w:w="62"/>
            </w:tcMar>
          </w:tcPr>
          <w:p w14:paraId="50000000">
            <w:pPr>
              <w:ind/>
              <w:jc w:val="right"/>
              <w:rPr>
                <w:sz w:val="24"/>
              </w:rPr>
            </w:pPr>
            <w:r>
              <w:rPr>
                <w:sz w:val="24"/>
              </w:rPr>
              <w:t>местный бюджет (всего), из них:</w:t>
            </w:r>
          </w:p>
        </w:tc>
        <w:tc>
          <w:tcPr>
            <w:tcW w:type="dxa" w:w="1418"/>
            <w:tcBorders>
              <w:top w:color="000000" w:sz="6" w:val="single"/>
              <w:left w:color="000000" w:sz="6" w:val="single"/>
              <w:bottom w:color="000000" w:sz="6" w:val="single"/>
              <w:right w:color="000000" w:sz="6" w:val="single"/>
            </w:tcBorders>
            <w:tcMar>
              <w:top w:type="dxa" w:w="102"/>
              <w:left w:type="dxa" w:w="62"/>
              <w:bottom w:type="dxa" w:w="102"/>
              <w:right w:type="dxa" w:w="62"/>
            </w:tcMar>
            <w:vAlign w:val="center"/>
          </w:tcPr>
          <w:p w14:paraId="51000000">
            <w:pPr>
              <w:ind/>
              <w:jc w:val="center"/>
              <w:rPr>
                <w:rFonts w:ascii="Times New Roman" w:hAnsi="Times New Roman"/>
                <w:color w:val="000000"/>
                <w:sz w:val="24"/>
              </w:rPr>
            </w:pPr>
            <w:r>
              <w:rPr>
                <w:rFonts w:ascii="Times New Roman" w:hAnsi="Times New Roman"/>
                <w:color w:val="000000"/>
                <w:sz w:val="24"/>
              </w:rPr>
              <w:t>53 229,9</w:t>
            </w:r>
          </w:p>
        </w:tc>
        <w:tc>
          <w:tcPr>
            <w:tcW w:type="dxa" w:w="1376"/>
            <w:tcBorders>
              <w:top w:color="000000" w:sz="6" w:val="single"/>
              <w:left w:color="000000" w:sz="6" w:val="single"/>
              <w:bottom w:color="000000" w:sz="6" w:val="single"/>
              <w:right w:color="000000" w:sz="6" w:val="single"/>
            </w:tcBorders>
            <w:tcMar>
              <w:top w:type="dxa" w:w="102"/>
              <w:left w:type="dxa" w:w="62"/>
              <w:bottom w:type="dxa" w:w="102"/>
              <w:right w:type="dxa" w:w="62"/>
            </w:tcMar>
            <w:vAlign w:val="center"/>
          </w:tcPr>
          <w:p w14:paraId="52000000">
            <w:pPr>
              <w:ind/>
              <w:jc w:val="center"/>
              <w:rPr>
                <w:rFonts w:ascii="Times New Roman" w:hAnsi="Times New Roman"/>
                <w:color w:val="000000"/>
                <w:sz w:val="24"/>
              </w:rPr>
            </w:pPr>
            <w:r>
              <w:rPr>
                <w:rFonts w:ascii="Times New Roman" w:hAnsi="Times New Roman"/>
                <w:color w:val="000000"/>
                <w:sz w:val="24"/>
              </w:rPr>
              <w:t>29 154,0</w:t>
            </w:r>
          </w:p>
        </w:tc>
        <w:tc>
          <w:tcPr>
            <w:tcW w:type="dxa" w:w="1308"/>
            <w:tcBorders>
              <w:top w:color="000000" w:sz="6" w:val="single"/>
              <w:left w:color="000000" w:sz="6" w:val="single"/>
              <w:bottom w:color="000000" w:sz="6" w:val="single"/>
              <w:right w:color="000000" w:sz="6" w:val="single"/>
            </w:tcBorders>
            <w:tcMar>
              <w:top w:type="dxa" w:w="102"/>
              <w:left w:type="dxa" w:w="62"/>
              <w:bottom w:type="dxa" w:w="102"/>
              <w:right w:type="dxa" w:w="62"/>
            </w:tcMar>
            <w:vAlign w:val="center"/>
          </w:tcPr>
          <w:p w14:paraId="53000000">
            <w:pPr>
              <w:ind/>
              <w:jc w:val="center"/>
              <w:rPr>
                <w:rFonts w:ascii="Times New Roman" w:hAnsi="Times New Roman"/>
                <w:color w:val="000000"/>
                <w:sz w:val="24"/>
              </w:rPr>
            </w:pPr>
            <w:r>
              <w:rPr>
                <w:rFonts w:ascii="Times New Roman" w:hAnsi="Times New Roman"/>
                <w:color w:val="000000"/>
                <w:sz w:val="24"/>
              </w:rPr>
              <w:t>23 998,8</w:t>
            </w:r>
          </w:p>
        </w:tc>
        <w:tc>
          <w:tcPr>
            <w:tcW w:type="dxa" w:w="1221"/>
            <w:tcBorders>
              <w:top w:color="000000" w:sz="6" w:val="single"/>
              <w:left w:color="000000" w:sz="6" w:val="single"/>
              <w:bottom w:color="000000" w:sz="6" w:val="single"/>
              <w:right w:color="000000" w:sz="6" w:val="single"/>
            </w:tcBorders>
            <w:tcMar>
              <w:top w:type="dxa" w:w="102"/>
              <w:left w:type="dxa" w:w="62"/>
              <w:bottom w:type="dxa" w:w="102"/>
              <w:right w:type="dxa" w:w="62"/>
            </w:tcMar>
            <w:vAlign w:val="center"/>
          </w:tcPr>
          <w:p w14:paraId="54000000">
            <w:pPr>
              <w:ind/>
              <w:jc w:val="center"/>
              <w:rPr>
                <w:rFonts w:ascii="Times New Roman" w:hAnsi="Times New Roman"/>
                <w:color w:val="000000"/>
                <w:sz w:val="24"/>
              </w:rPr>
            </w:pPr>
            <w:r>
              <w:rPr>
                <w:rFonts w:ascii="Times New Roman" w:hAnsi="Times New Roman"/>
                <w:color w:val="000000"/>
                <w:sz w:val="24"/>
              </w:rPr>
              <w:t>24 289,3</w:t>
            </w:r>
          </w:p>
        </w:tc>
        <w:tc>
          <w:tcPr>
            <w:tcW w:type="dxa" w:w="1605"/>
            <w:tcBorders>
              <w:top w:color="000000" w:sz="6" w:val="single"/>
              <w:left w:color="000000" w:sz="6" w:val="single"/>
              <w:bottom w:color="000000" w:sz="6" w:val="single"/>
              <w:right w:color="000000" w:sz="6" w:val="single"/>
            </w:tcBorders>
            <w:tcMar>
              <w:top w:type="dxa" w:w="102"/>
              <w:left w:type="dxa" w:w="62"/>
              <w:bottom w:type="dxa" w:w="102"/>
              <w:right w:type="dxa" w:w="62"/>
            </w:tcMar>
            <w:vAlign w:val="center"/>
          </w:tcPr>
          <w:p w14:paraId="55000000">
            <w:pPr>
              <w:ind/>
              <w:jc w:val="center"/>
              <w:rPr>
                <w:rFonts w:ascii="Times New Roman" w:hAnsi="Times New Roman"/>
                <w:color w:val="000000"/>
                <w:sz w:val="24"/>
              </w:rPr>
            </w:pPr>
            <w:r>
              <w:rPr>
                <w:rFonts w:ascii="Times New Roman" w:hAnsi="Times New Roman"/>
                <w:color w:val="000000"/>
                <w:sz w:val="24"/>
              </w:rPr>
              <w:t>130 672,0</w:t>
            </w:r>
          </w:p>
        </w:tc>
      </w:tr>
      <w:tr>
        <w:trPr>
          <w:trHeight w:hRule="atLeast" w:val="157"/>
        </w:trPr>
        <w:tc>
          <w:tcPr>
            <w:tcW w:type="dxa" w:w="567"/>
            <w:gridSpan w:val="1"/>
            <w:vMerge w:val="continue"/>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tc>
        <w:tc>
          <w:tcPr>
            <w:tcW w:type="dxa" w:w="7657"/>
            <w:tcBorders>
              <w:top w:color="000000" w:sz="4" w:val="single"/>
              <w:left w:color="000000" w:sz="4" w:val="single"/>
              <w:bottom w:color="000000" w:sz="4" w:val="single"/>
              <w:right w:color="000000" w:sz="6" w:val="single"/>
            </w:tcBorders>
            <w:tcMar>
              <w:top w:type="dxa" w:w="102"/>
              <w:left w:type="dxa" w:w="62"/>
              <w:bottom w:type="dxa" w:w="102"/>
              <w:right w:type="dxa" w:w="62"/>
            </w:tcMar>
          </w:tcPr>
          <w:p w14:paraId="56000000">
            <w:pPr>
              <w:ind/>
              <w:jc w:val="right"/>
              <w:rPr>
                <w:sz w:val="24"/>
              </w:rPr>
            </w:pPr>
            <w:r>
              <w:rPr>
                <w:sz w:val="24"/>
              </w:rPr>
              <w:t>безвозмездные поступления в местный бюджет, в том числе за счет средств:</w:t>
            </w:r>
          </w:p>
        </w:tc>
        <w:tc>
          <w:tcPr>
            <w:tcW w:type="dxa" w:w="1418"/>
            <w:tcBorders>
              <w:top w:color="000000" w:sz="6" w:val="single"/>
              <w:left w:color="000000" w:sz="6" w:val="single"/>
              <w:bottom w:color="000000" w:sz="6" w:val="single"/>
              <w:right w:color="000000" w:sz="6" w:val="single"/>
            </w:tcBorders>
            <w:tcMar>
              <w:top w:type="dxa" w:w="102"/>
              <w:left w:type="dxa" w:w="62"/>
              <w:bottom w:type="dxa" w:w="102"/>
              <w:right w:type="dxa" w:w="62"/>
            </w:tcMar>
            <w:vAlign w:val="center"/>
          </w:tcPr>
          <w:p w14:paraId="57000000">
            <w:pPr>
              <w:ind/>
              <w:jc w:val="center"/>
              <w:rPr>
                <w:rFonts w:ascii="Times New Roman" w:hAnsi="Times New Roman"/>
                <w:color w:val="000000"/>
                <w:sz w:val="24"/>
              </w:rPr>
            </w:pPr>
            <w:r>
              <w:rPr>
                <w:rFonts w:ascii="Times New Roman" w:hAnsi="Times New Roman"/>
                <w:color w:val="000000"/>
                <w:sz w:val="24"/>
              </w:rPr>
              <w:t>53 229,9</w:t>
            </w:r>
          </w:p>
        </w:tc>
        <w:tc>
          <w:tcPr>
            <w:tcW w:type="dxa" w:w="1376"/>
            <w:tcBorders>
              <w:top w:color="000000" w:sz="6" w:val="single"/>
              <w:left w:color="000000" w:sz="6" w:val="single"/>
              <w:bottom w:color="000000" w:sz="6" w:val="single"/>
              <w:right w:color="000000" w:sz="6" w:val="single"/>
            </w:tcBorders>
            <w:tcMar>
              <w:top w:type="dxa" w:w="102"/>
              <w:left w:type="dxa" w:w="62"/>
              <w:bottom w:type="dxa" w:w="102"/>
              <w:right w:type="dxa" w:w="62"/>
            </w:tcMar>
            <w:vAlign w:val="center"/>
          </w:tcPr>
          <w:p w14:paraId="58000000">
            <w:pPr>
              <w:ind/>
              <w:jc w:val="center"/>
              <w:rPr>
                <w:rFonts w:ascii="Times New Roman" w:hAnsi="Times New Roman"/>
                <w:color w:val="000000"/>
                <w:sz w:val="24"/>
              </w:rPr>
            </w:pPr>
            <w:r>
              <w:rPr>
                <w:rFonts w:ascii="Times New Roman" w:hAnsi="Times New Roman"/>
                <w:color w:val="000000"/>
                <w:sz w:val="24"/>
              </w:rPr>
              <w:t>9 628,2</w:t>
            </w:r>
          </w:p>
        </w:tc>
        <w:tc>
          <w:tcPr>
            <w:tcW w:type="dxa" w:w="1308"/>
            <w:tcBorders>
              <w:top w:color="000000" w:sz="6" w:val="single"/>
              <w:left w:color="000000" w:sz="6" w:val="single"/>
              <w:bottom w:color="000000" w:sz="6" w:val="single"/>
              <w:right w:color="000000" w:sz="6" w:val="single"/>
            </w:tcBorders>
            <w:tcMar>
              <w:top w:type="dxa" w:w="102"/>
              <w:left w:type="dxa" w:w="62"/>
              <w:bottom w:type="dxa" w:w="102"/>
              <w:right w:type="dxa" w:w="62"/>
            </w:tcMar>
            <w:vAlign w:val="center"/>
          </w:tcPr>
          <w:p w14:paraId="59000000">
            <w:pPr>
              <w:ind/>
              <w:jc w:val="center"/>
              <w:rPr>
                <w:rFonts w:ascii="Times New Roman" w:hAnsi="Times New Roman"/>
                <w:color w:val="000000"/>
                <w:sz w:val="24"/>
              </w:rPr>
            </w:pPr>
            <w:r>
              <w:rPr>
                <w:rFonts w:ascii="Times New Roman" w:hAnsi="Times New Roman"/>
                <w:color w:val="000000"/>
                <w:sz w:val="24"/>
              </w:rPr>
              <w:t>23 979,0</w:t>
            </w:r>
          </w:p>
        </w:tc>
        <w:tc>
          <w:tcPr>
            <w:tcW w:type="dxa" w:w="1221"/>
            <w:tcBorders>
              <w:top w:color="000000" w:sz="6" w:val="single"/>
              <w:left w:color="000000" w:sz="6" w:val="single"/>
              <w:bottom w:color="000000" w:sz="6" w:val="single"/>
              <w:right w:color="000000" w:sz="6" w:val="single"/>
            </w:tcBorders>
            <w:tcMar>
              <w:top w:type="dxa" w:w="102"/>
              <w:left w:type="dxa" w:w="62"/>
              <w:bottom w:type="dxa" w:w="102"/>
              <w:right w:type="dxa" w:w="62"/>
            </w:tcMar>
            <w:vAlign w:val="center"/>
          </w:tcPr>
          <w:p w14:paraId="5A000000">
            <w:pPr>
              <w:ind/>
              <w:jc w:val="center"/>
              <w:rPr>
                <w:rFonts w:ascii="Times New Roman" w:hAnsi="Times New Roman"/>
                <w:color w:val="000000"/>
                <w:sz w:val="24"/>
              </w:rPr>
            </w:pPr>
            <w:r>
              <w:rPr>
                <w:rFonts w:ascii="Times New Roman" w:hAnsi="Times New Roman"/>
                <w:color w:val="000000"/>
                <w:sz w:val="24"/>
              </w:rPr>
              <w:t>24 261,2</w:t>
            </w:r>
          </w:p>
        </w:tc>
        <w:tc>
          <w:tcPr>
            <w:tcW w:type="dxa" w:w="1605"/>
            <w:tcBorders>
              <w:top w:color="000000" w:sz="6" w:val="single"/>
              <w:left w:color="000000" w:sz="6" w:val="single"/>
              <w:bottom w:color="000000" w:sz="6" w:val="single"/>
              <w:right w:color="000000" w:sz="6" w:val="single"/>
            </w:tcBorders>
            <w:tcMar>
              <w:top w:type="dxa" w:w="102"/>
              <w:left w:type="dxa" w:w="62"/>
              <w:bottom w:type="dxa" w:w="102"/>
              <w:right w:type="dxa" w:w="62"/>
            </w:tcMar>
            <w:vAlign w:val="center"/>
          </w:tcPr>
          <w:p w14:paraId="5B000000">
            <w:pPr>
              <w:ind/>
              <w:jc w:val="center"/>
              <w:rPr>
                <w:rFonts w:ascii="Times New Roman" w:hAnsi="Times New Roman"/>
                <w:color w:val="000000"/>
                <w:sz w:val="24"/>
              </w:rPr>
            </w:pPr>
            <w:r>
              <w:rPr>
                <w:rFonts w:ascii="Times New Roman" w:hAnsi="Times New Roman"/>
                <w:color w:val="000000"/>
                <w:sz w:val="24"/>
              </w:rPr>
              <w:t>111 098,3</w:t>
            </w:r>
          </w:p>
        </w:tc>
      </w:tr>
      <w:tr>
        <w:trPr>
          <w:trHeight w:hRule="atLeast" w:val="235"/>
        </w:trPr>
        <w:tc>
          <w:tcPr>
            <w:tcW w:type="dxa" w:w="567"/>
            <w:gridSpan w:val="1"/>
            <w:vMerge w:val="continue"/>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tc>
        <w:tc>
          <w:tcPr>
            <w:tcW w:type="dxa" w:w="7657"/>
            <w:tcBorders>
              <w:top w:color="000000" w:sz="4" w:val="single"/>
              <w:left w:color="000000" w:sz="4" w:val="single"/>
              <w:bottom w:color="000000" w:sz="4" w:val="single"/>
              <w:right w:color="000000" w:sz="6" w:val="single"/>
            </w:tcBorders>
            <w:tcMar>
              <w:top w:type="dxa" w:w="102"/>
              <w:left w:type="dxa" w:w="62"/>
              <w:bottom w:type="dxa" w:w="102"/>
              <w:right w:type="dxa" w:w="62"/>
            </w:tcMar>
          </w:tcPr>
          <w:p w14:paraId="5C000000">
            <w:pPr>
              <w:ind/>
              <w:jc w:val="right"/>
              <w:rPr>
                <w:sz w:val="24"/>
              </w:rPr>
            </w:pPr>
            <w:r>
              <w:rPr>
                <w:sz w:val="24"/>
              </w:rPr>
              <w:t>федеральный бюджет</w:t>
            </w:r>
          </w:p>
        </w:tc>
        <w:tc>
          <w:tcPr>
            <w:tcW w:type="dxa" w:w="1418"/>
            <w:tcBorders>
              <w:top w:color="000000" w:sz="6" w:val="single"/>
              <w:left w:color="000000" w:sz="6" w:val="single"/>
              <w:bottom w:color="000000" w:sz="6" w:val="single"/>
              <w:right w:color="000000" w:sz="6" w:val="single"/>
            </w:tcBorders>
            <w:tcMar>
              <w:top w:type="dxa" w:w="102"/>
              <w:left w:type="dxa" w:w="62"/>
              <w:bottom w:type="dxa" w:w="102"/>
              <w:right w:type="dxa" w:w="62"/>
            </w:tcMar>
            <w:vAlign w:val="center"/>
          </w:tcPr>
          <w:p w14:paraId="5D000000">
            <w:pPr>
              <w:ind/>
              <w:jc w:val="center"/>
              <w:rPr>
                <w:rFonts w:ascii="Times New Roman" w:hAnsi="Times New Roman"/>
                <w:color w:val="000000"/>
                <w:sz w:val="24"/>
              </w:rPr>
            </w:pPr>
            <w:r>
              <w:rPr>
                <w:rFonts w:ascii="Times New Roman" w:hAnsi="Times New Roman"/>
                <w:color w:val="000000"/>
                <w:sz w:val="24"/>
              </w:rPr>
              <w:t xml:space="preserve"> 0,0</w:t>
            </w:r>
          </w:p>
        </w:tc>
        <w:tc>
          <w:tcPr>
            <w:tcW w:type="dxa" w:w="1376"/>
            <w:tcBorders>
              <w:top w:color="000000" w:sz="6" w:val="single"/>
              <w:left w:color="000000" w:sz="6" w:val="single"/>
              <w:bottom w:color="000000" w:sz="6" w:val="single"/>
              <w:right w:color="000000" w:sz="6" w:val="single"/>
            </w:tcBorders>
            <w:tcMar>
              <w:top w:type="dxa" w:w="102"/>
              <w:left w:type="dxa" w:w="62"/>
              <w:bottom w:type="dxa" w:w="102"/>
              <w:right w:type="dxa" w:w="62"/>
            </w:tcMar>
            <w:vAlign w:val="center"/>
          </w:tcPr>
          <w:p w14:paraId="5E000000">
            <w:pPr>
              <w:ind/>
              <w:jc w:val="center"/>
              <w:rPr>
                <w:rFonts w:ascii="Times New Roman" w:hAnsi="Times New Roman"/>
                <w:color w:val="000000"/>
                <w:sz w:val="24"/>
              </w:rPr>
            </w:pPr>
            <w:r>
              <w:rPr>
                <w:rFonts w:ascii="Times New Roman" w:hAnsi="Times New Roman"/>
                <w:color w:val="000000"/>
                <w:sz w:val="24"/>
              </w:rPr>
              <w:t xml:space="preserve"> 0,0</w:t>
            </w:r>
          </w:p>
        </w:tc>
        <w:tc>
          <w:tcPr>
            <w:tcW w:type="dxa" w:w="1308"/>
            <w:tcBorders>
              <w:top w:color="000000" w:sz="6" w:val="single"/>
              <w:left w:color="000000" w:sz="6" w:val="single"/>
              <w:bottom w:color="000000" w:sz="6" w:val="single"/>
              <w:right w:color="000000" w:sz="6" w:val="single"/>
            </w:tcBorders>
            <w:tcMar>
              <w:top w:type="dxa" w:w="102"/>
              <w:left w:type="dxa" w:w="62"/>
              <w:bottom w:type="dxa" w:w="102"/>
              <w:right w:type="dxa" w:w="62"/>
            </w:tcMar>
            <w:vAlign w:val="center"/>
          </w:tcPr>
          <w:p w14:paraId="5F000000">
            <w:pPr>
              <w:ind/>
              <w:jc w:val="center"/>
              <w:rPr>
                <w:rFonts w:ascii="Times New Roman" w:hAnsi="Times New Roman"/>
                <w:color w:val="000000"/>
                <w:sz w:val="24"/>
              </w:rPr>
            </w:pPr>
            <w:r>
              <w:rPr>
                <w:rFonts w:ascii="Times New Roman" w:hAnsi="Times New Roman"/>
                <w:color w:val="000000"/>
                <w:sz w:val="24"/>
              </w:rPr>
              <w:t>10 164,6</w:t>
            </w:r>
          </w:p>
        </w:tc>
        <w:tc>
          <w:tcPr>
            <w:tcW w:type="dxa" w:w="1221"/>
            <w:tcBorders>
              <w:top w:color="000000" w:sz="6" w:val="single"/>
              <w:left w:color="000000" w:sz="6" w:val="single"/>
              <w:bottom w:color="000000" w:sz="6" w:val="single"/>
              <w:right w:color="000000" w:sz="6" w:val="single"/>
            </w:tcBorders>
            <w:tcMar>
              <w:top w:type="dxa" w:w="102"/>
              <w:left w:type="dxa" w:w="62"/>
              <w:bottom w:type="dxa" w:w="102"/>
              <w:right w:type="dxa" w:w="62"/>
            </w:tcMar>
            <w:vAlign w:val="center"/>
          </w:tcPr>
          <w:p w14:paraId="60000000">
            <w:pPr>
              <w:ind/>
              <w:jc w:val="center"/>
              <w:rPr>
                <w:rFonts w:ascii="Times New Roman" w:hAnsi="Times New Roman"/>
                <w:color w:val="000000"/>
                <w:sz w:val="24"/>
              </w:rPr>
            </w:pPr>
            <w:r>
              <w:rPr>
                <w:rFonts w:ascii="Times New Roman" w:hAnsi="Times New Roman"/>
                <w:color w:val="000000"/>
                <w:sz w:val="24"/>
              </w:rPr>
              <w:t>10 438,3</w:t>
            </w:r>
          </w:p>
        </w:tc>
        <w:tc>
          <w:tcPr>
            <w:tcW w:type="dxa" w:w="1605"/>
            <w:tcBorders>
              <w:top w:color="000000" w:sz="6" w:val="single"/>
              <w:left w:color="000000" w:sz="6" w:val="single"/>
              <w:bottom w:color="000000" w:sz="6" w:val="single"/>
              <w:right w:color="000000" w:sz="6" w:val="single"/>
            </w:tcBorders>
            <w:tcMar>
              <w:top w:type="dxa" w:w="102"/>
              <w:left w:type="dxa" w:w="62"/>
              <w:bottom w:type="dxa" w:w="102"/>
              <w:right w:type="dxa" w:w="62"/>
            </w:tcMar>
            <w:vAlign w:val="center"/>
          </w:tcPr>
          <w:p w14:paraId="61000000">
            <w:pPr>
              <w:ind/>
              <w:jc w:val="center"/>
              <w:rPr>
                <w:rFonts w:ascii="Times New Roman" w:hAnsi="Times New Roman"/>
                <w:color w:val="000000"/>
                <w:sz w:val="24"/>
              </w:rPr>
            </w:pPr>
            <w:r>
              <w:rPr>
                <w:rFonts w:ascii="Times New Roman" w:hAnsi="Times New Roman"/>
                <w:color w:val="000000"/>
                <w:sz w:val="24"/>
              </w:rPr>
              <w:t>20 602,9</w:t>
            </w:r>
          </w:p>
        </w:tc>
      </w:tr>
      <w:tr>
        <w:tc>
          <w:tcPr>
            <w:tcW w:type="dxa" w:w="567"/>
            <w:gridSpan w:val="1"/>
            <w:vMerge w:val="continue"/>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tc>
        <w:tc>
          <w:tcPr>
            <w:tcW w:type="dxa" w:w="7657"/>
            <w:tcBorders>
              <w:top w:color="000000" w:sz="4" w:val="single"/>
              <w:left w:color="000000" w:sz="4" w:val="single"/>
              <w:bottom w:color="000000" w:sz="4" w:val="single"/>
              <w:right w:color="000000" w:sz="6" w:val="single"/>
            </w:tcBorders>
            <w:tcMar>
              <w:top w:type="dxa" w:w="102"/>
              <w:left w:type="dxa" w:w="62"/>
              <w:bottom w:type="dxa" w:w="102"/>
              <w:right w:type="dxa" w:w="62"/>
            </w:tcMar>
          </w:tcPr>
          <w:p w14:paraId="62000000">
            <w:pPr>
              <w:ind/>
              <w:jc w:val="right"/>
              <w:rPr>
                <w:sz w:val="24"/>
                <w:highlight w:val="yellow"/>
              </w:rPr>
            </w:pPr>
            <w:r>
              <w:rPr>
                <w:sz w:val="24"/>
              </w:rPr>
              <w:t>областной бюджет</w:t>
            </w:r>
          </w:p>
        </w:tc>
        <w:tc>
          <w:tcPr>
            <w:tcW w:type="dxa" w:w="1418"/>
            <w:tcBorders>
              <w:top w:color="000000" w:sz="6" w:val="single"/>
              <w:left w:color="000000" w:sz="6" w:val="single"/>
              <w:bottom w:color="000000" w:sz="6" w:val="single"/>
              <w:right w:color="000000" w:sz="6" w:val="single"/>
            </w:tcBorders>
            <w:tcMar>
              <w:top w:type="dxa" w:w="102"/>
              <w:left w:type="dxa" w:w="62"/>
              <w:bottom w:type="dxa" w:w="102"/>
              <w:right w:type="dxa" w:w="62"/>
            </w:tcMar>
            <w:vAlign w:val="center"/>
          </w:tcPr>
          <w:p w14:paraId="63000000">
            <w:pPr>
              <w:ind/>
              <w:jc w:val="center"/>
              <w:rPr>
                <w:rFonts w:ascii="Times New Roman" w:hAnsi="Times New Roman"/>
                <w:color w:val="000000"/>
                <w:sz w:val="24"/>
              </w:rPr>
            </w:pPr>
            <w:r>
              <w:rPr>
                <w:rFonts w:ascii="Times New Roman" w:hAnsi="Times New Roman"/>
                <w:color w:val="000000"/>
                <w:sz w:val="24"/>
              </w:rPr>
              <w:t>53 229,9</w:t>
            </w:r>
          </w:p>
        </w:tc>
        <w:tc>
          <w:tcPr>
            <w:tcW w:type="dxa" w:w="1376"/>
            <w:tcBorders>
              <w:top w:color="000000" w:sz="6" w:val="single"/>
              <w:left w:color="000000" w:sz="6" w:val="single"/>
              <w:bottom w:color="000000" w:sz="6" w:val="single"/>
              <w:right w:color="000000" w:sz="6" w:val="single"/>
            </w:tcBorders>
            <w:tcMar>
              <w:top w:type="dxa" w:w="102"/>
              <w:left w:type="dxa" w:w="62"/>
              <w:bottom w:type="dxa" w:w="102"/>
              <w:right w:type="dxa" w:w="62"/>
            </w:tcMar>
            <w:vAlign w:val="center"/>
          </w:tcPr>
          <w:p w14:paraId="64000000">
            <w:pPr>
              <w:ind/>
              <w:jc w:val="center"/>
              <w:rPr>
                <w:rFonts w:ascii="Times New Roman" w:hAnsi="Times New Roman"/>
                <w:color w:val="000000"/>
                <w:sz w:val="24"/>
              </w:rPr>
            </w:pPr>
            <w:r>
              <w:rPr>
                <w:rFonts w:ascii="Times New Roman" w:hAnsi="Times New Roman"/>
                <w:color w:val="000000"/>
                <w:sz w:val="24"/>
              </w:rPr>
              <w:t>9 628,2</w:t>
            </w:r>
          </w:p>
        </w:tc>
        <w:tc>
          <w:tcPr>
            <w:tcW w:type="dxa" w:w="1308"/>
            <w:tcBorders>
              <w:top w:color="000000" w:sz="6" w:val="single"/>
              <w:left w:color="000000" w:sz="6" w:val="single"/>
              <w:bottom w:color="000000" w:sz="6" w:val="single"/>
              <w:right w:color="000000" w:sz="6" w:val="single"/>
            </w:tcBorders>
            <w:tcMar>
              <w:top w:type="dxa" w:w="102"/>
              <w:left w:type="dxa" w:w="62"/>
              <w:bottom w:type="dxa" w:w="102"/>
              <w:right w:type="dxa" w:w="62"/>
            </w:tcMar>
            <w:vAlign w:val="center"/>
          </w:tcPr>
          <w:p w14:paraId="65000000">
            <w:pPr>
              <w:ind/>
              <w:jc w:val="center"/>
              <w:rPr>
                <w:rFonts w:ascii="Times New Roman" w:hAnsi="Times New Roman"/>
                <w:color w:val="000000"/>
                <w:sz w:val="24"/>
              </w:rPr>
            </w:pPr>
            <w:r>
              <w:rPr>
                <w:rFonts w:ascii="Times New Roman" w:hAnsi="Times New Roman"/>
                <w:color w:val="000000"/>
                <w:sz w:val="24"/>
              </w:rPr>
              <w:t>13 814,4</w:t>
            </w:r>
          </w:p>
        </w:tc>
        <w:tc>
          <w:tcPr>
            <w:tcW w:type="dxa" w:w="1221"/>
            <w:tcBorders>
              <w:top w:color="000000" w:sz="6" w:val="single"/>
              <w:left w:color="000000" w:sz="6" w:val="single"/>
              <w:bottom w:color="000000" w:sz="6" w:val="single"/>
              <w:right w:color="000000" w:sz="6" w:val="single"/>
            </w:tcBorders>
            <w:tcMar>
              <w:top w:type="dxa" w:w="102"/>
              <w:left w:type="dxa" w:w="62"/>
              <w:bottom w:type="dxa" w:w="102"/>
              <w:right w:type="dxa" w:w="62"/>
            </w:tcMar>
            <w:vAlign w:val="center"/>
          </w:tcPr>
          <w:p w14:paraId="66000000">
            <w:pPr>
              <w:ind/>
              <w:jc w:val="center"/>
              <w:rPr>
                <w:rFonts w:ascii="Times New Roman" w:hAnsi="Times New Roman"/>
                <w:color w:val="000000"/>
                <w:sz w:val="24"/>
              </w:rPr>
            </w:pPr>
            <w:r>
              <w:rPr>
                <w:rFonts w:ascii="Times New Roman" w:hAnsi="Times New Roman"/>
                <w:color w:val="000000"/>
                <w:sz w:val="24"/>
              </w:rPr>
              <w:t>13 822,9</w:t>
            </w:r>
          </w:p>
        </w:tc>
        <w:tc>
          <w:tcPr>
            <w:tcW w:type="dxa" w:w="1605"/>
            <w:tcBorders>
              <w:top w:color="000000" w:sz="6" w:val="single"/>
              <w:left w:color="000000" w:sz="6" w:val="single"/>
              <w:bottom w:color="000000" w:sz="6" w:val="single"/>
              <w:right w:color="000000" w:sz="6" w:val="single"/>
            </w:tcBorders>
            <w:tcMar>
              <w:top w:type="dxa" w:w="102"/>
              <w:left w:type="dxa" w:w="62"/>
              <w:bottom w:type="dxa" w:w="102"/>
              <w:right w:type="dxa" w:w="62"/>
            </w:tcMar>
            <w:vAlign w:val="center"/>
          </w:tcPr>
          <w:p w14:paraId="67000000">
            <w:pPr>
              <w:ind/>
              <w:jc w:val="center"/>
              <w:rPr>
                <w:rFonts w:ascii="Times New Roman" w:hAnsi="Times New Roman"/>
                <w:color w:val="000000"/>
                <w:sz w:val="24"/>
              </w:rPr>
            </w:pPr>
            <w:r>
              <w:rPr>
                <w:rFonts w:ascii="Times New Roman" w:hAnsi="Times New Roman"/>
                <w:color w:val="000000"/>
                <w:sz w:val="24"/>
              </w:rPr>
              <w:t>90 495,4</w:t>
            </w:r>
          </w:p>
        </w:tc>
      </w:tr>
      <w:tr>
        <w:trPr>
          <w:trHeight w:hRule="atLeast" w:val="289"/>
        </w:trPr>
        <w:tc>
          <w:tcPr>
            <w:tcW w:type="dxa" w:w="567"/>
            <w:gridSpan w:val="1"/>
            <w:vMerge w:val="continue"/>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tc>
        <w:tc>
          <w:tcPr>
            <w:tcW w:type="dxa" w:w="7657"/>
            <w:tcBorders>
              <w:top w:color="000000" w:sz="4" w:val="single"/>
              <w:left w:color="000000" w:sz="4" w:val="single"/>
              <w:bottom w:color="000000" w:sz="4" w:val="single"/>
              <w:right w:color="000000" w:sz="6" w:val="single"/>
            </w:tcBorders>
            <w:tcMar>
              <w:top w:type="dxa" w:w="102"/>
              <w:left w:type="dxa" w:w="62"/>
              <w:bottom w:type="dxa" w:w="102"/>
              <w:right w:type="dxa" w:w="62"/>
            </w:tcMar>
          </w:tcPr>
          <w:p w14:paraId="68000000">
            <w:pPr>
              <w:ind/>
              <w:jc w:val="right"/>
              <w:rPr>
                <w:sz w:val="24"/>
              </w:rPr>
            </w:pPr>
            <w:r>
              <w:rPr>
                <w:sz w:val="24"/>
              </w:rPr>
              <w:t>местный бюджет</w:t>
            </w:r>
          </w:p>
        </w:tc>
        <w:tc>
          <w:tcPr>
            <w:tcW w:type="dxa" w:w="1418"/>
            <w:tcBorders>
              <w:top w:color="000000" w:sz="6" w:val="single"/>
              <w:left w:color="000000" w:sz="6" w:val="single"/>
              <w:bottom w:color="000000" w:sz="6" w:val="single"/>
              <w:right w:color="000000" w:sz="6" w:val="single"/>
            </w:tcBorders>
            <w:tcMar>
              <w:top w:type="dxa" w:w="102"/>
              <w:left w:type="dxa" w:w="62"/>
              <w:bottom w:type="dxa" w:w="102"/>
              <w:right w:type="dxa" w:w="62"/>
            </w:tcMar>
            <w:vAlign w:val="center"/>
          </w:tcPr>
          <w:p w14:paraId="69000000">
            <w:pPr>
              <w:ind/>
              <w:jc w:val="center"/>
              <w:rPr>
                <w:rFonts w:ascii="Times New Roman" w:hAnsi="Times New Roman"/>
                <w:color w:val="000000"/>
                <w:sz w:val="24"/>
              </w:rPr>
            </w:pPr>
            <w:r>
              <w:rPr>
                <w:rFonts w:ascii="Times New Roman" w:hAnsi="Times New Roman"/>
                <w:color w:val="000000"/>
                <w:sz w:val="24"/>
              </w:rPr>
              <w:t xml:space="preserve"> 0,0</w:t>
            </w:r>
          </w:p>
        </w:tc>
        <w:tc>
          <w:tcPr>
            <w:tcW w:type="dxa" w:w="1376"/>
            <w:tcBorders>
              <w:top w:color="000000" w:sz="6" w:val="single"/>
              <w:left w:color="000000" w:sz="6" w:val="single"/>
              <w:bottom w:color="000000" w:sz="6" w:val="single"/>
              <w:right w:color="000000" w:sz="6" w:val="single"/>
            </w:tcBorders>
            <w:tcMar>
              <w:top w:type="dxa" w:w="102"/>
              <w:left w:type="dxa" w:w="62"/>
              <w:bottom w:type="dxa" w:w="102"/>
              <w:right w:type="dxa" w:w="62"/>
            </w:tcMar>
            <w:vAlign w:val="center"/>
          </w:tcPr>
          <w:p w14:paraId="6A000000">
            <w:pPr>
              <w:ind/>
              <w:jc w:val="center"/>
              <w:rPr>
                <w:rFonts w:ascii="Times New Roman" w:hAnsi="Times New Roman"/>
                <w:color w:val="000000"/>
                <w:sz w:val="24"/>
              </w:rPr>
            </w:pPr>
            <w:r>
              <w:rPr>
                <w:rFonts w:ascii="Times New Roman" w:hAnsi="Times New Roman"/>
                <w:color w:val="000000"/>
                <w:sz w:val="24"/>
              </w:rPr>
              <w:t>19 525,8</w:t>
            </w:r>
          </w:p>
        </w:tc>
        <w:tc>
          <w:tcPr>
            <w:tcW w:type="dxa" w:w="1308"/>
            <w:tcBorders>
              <w:top w:color="000000" w:sz="6" w:val="single"/>
              <w:left w:color="000000" w:sz="6" w:val="single"/>
              <w:bottom w:color="000000" w:sz="6" w:val="single"/>
              <w:right w:color="000000" w:sz="6" w:val="single"/>
            </w:tcBorders>
            <w:tcMar>
              <w:top w:type="dxa" w:w="102"/>
              <w:left w:type="dxa" w:w="62"/>
              <w:bottom w:type="dxa" w:w="102"/>
              <w:right w:type="dxa" w:w="62"/>
            </w:tcMar>
            <w:vAlign w:val="center"/>
          </w:tcPr>
          <w:p w14:paraId="6B000000">
            <w:pPr>
              <w:ind/>
              <w:jc w:val="center"/>
              <w:rPr>
                <w:rFonts w:ascii="Times New Roman" w:hAnsi="Times New Roman"/>
                <w:color w:val="000000"/>
                <w:sz w:val="24"/>
              </w:rPr>
            </w:pPr>
            <w:r>
              <w:rPr>
                <w:rFonts w:ascii="Times New Roman" w:hAnsi="Times New Roman"/>
                <w:color w:val="000000"/>
                <w:sz w:val="24"/>
              </w:rPr>
              <w:t>19,8</w:t>
            </w:r>
          </w:p>
        </w:tc>
        <w:tc>
          <w:tcPr>
            <w:tcW w:type="dxa" w:w="1221"/>
            <w:tcBorders>
              <w:top w:color="000000" w:sz="6" w:val="single"/>
              <w:left w:color="000000" w:sz="6" w:val="single"/>
              <w:bottom w:color="000000" w:sz="6" w:val="single"/>
              <w:right w:color="000000" w:sz="6" w:val="single"/>
            </w:tcBorders>
            <w:tcMar>
              <w:top w:type="dxa" w:w="102"/>
              <w:left w:type="dxa" w:w="62"/>
              <w:bottom w:type="dxa" w:w="102"/>
              <w:right w:type="dxa" w:w="62"/>
            </w:tcMar>
            <w:vAlign w:val="center"/>
          </w:tcPr>
          <w:p w14:paraId="6C000000">
            <w:pPr>
              <w:ind/>
              <w:jc w:val="center"/>
              <w:rPr>
                <w:rFonts w:ascii="Times New Roman" w:hAnsi="Times New Roman"/>
                <w:color w:val="000000"/>
                <w:sz w:val="24"/>
              </w:rPr>
            </w:pPr>
            <w:r>
              <w:rPr>
                <w:rFonts w:ascii="Times New Roman" w:hAnsi="Times New Roman"/>
                <w:color w:val="000000"/>
                <w:sz w:val="24"/>
              </w:rPr>
              <w:t>28,1</w:t>
            </w:r>
          </w:p>
        </w:tc>
        <w:tc>
          <w:tcPr>
            <w:tcW w:type="dxa" w:w="1605"/>
            <w:tcBorders>
              <w:top w:color="000000" w:sz="6" w:val="single"/>
              <w:left w:color="000000" w:sz="6" w:val="single"/>
              <w:bottom w:color="000000" w:sz="6" w:val="single"/>
              <w:right w:color="000000" w:sz="6" w:val="single"/>
            </w:tcBorders>
            <w:tcMar>
              <w:top w:type="dxa" w:w="102"/>
              <w:left w:type="dxa" w:w="62"/>
              <w:bottom w:type="dxa" w:w="102"/>
              <w:right w:type="dxa" w:w="62"/>
            </w:tcMar>
            <w:vAlign w:val="center"/>
          </w:tcPr>
          <w:p w14:paraId="6D000000">
            <w:pPr>
              <w:ind/>
              <w:jc w:val="center"/>
              <w:rPr>
                <w:rFonts w:ascii="Times New Roman" w:hAnsi="Times New Roman"/>
                <w:color w:val="000000"/>
                <w:sz w:val="24"/>
              </w:rPr>
            </w:pPr>
            <w:r>
              <w:rPr>
                <w:rFonts w:ascii="Times New Roman" w:hAnsi="Times New Roman"/>
                <w:color w:val="000000"/>
                <w:sz w:val="24"/>
              </w:rPr>
              <w:t>19 573,7</w:t>
            </w:r>
          </w:p>
        </w:tc>
      </w:tr>
      <w:tr>
        <w:trPr>
          <w:trHeight w:hRule="atLeast" w:val="289"/>
        </w:trPr>
        <w:tc>
          <w:tcPr>
            <w:tcW w:type="dxa" w:w="567"/>
            <w:gridSpan w:val="1"/>
            <w:vMerge w:val="continue"/>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tc>
        <w:tc>
          <w:tcPr>
            <w:tcW w:type="dxa" w:w="7657"/>
            <w:tcBorders>
              <w:top w:color="000000" w:sz="4" w:val="single"/>
              <w:left w:color="000000" w:sz="4" w:val="single"/>
              <w:bottom w:color="000000" w:sz="4" w:val="single"/>
              <w:right w:color="000000" w:sz="6" w:val="single"/>
            </w:tcBorders>
            <w:tcMar>
              <w:top w:type="dxa" w:w="102"/>
              <w:left w:type="dxa" w:w="62"/>
              <w:bottom w:type="dxa" w:w="102"/>
              <w:right w:type="dxa" w:w="62"/>
            </w:tcMar>
          </w:tcPr>
          <w:p w14:paraId="6E000000">
            <w:pPr>
              <w:ind/>
              <w:jc w:val="right"/>
              <w:rPr>
                <w:sz w:val="24"/>
              </w:rPr>
            </w:pPr>
            <w:r>
              <w:rPr>
                <w:sz w:val="24"/>
              </w:rPr>
              <w:t>консолидированные бюджеты поселений (</w:t>
            </w:r>
            <w:r>
              <w:rPr>
                <w:sz w:val="24"/>
              </w:rPr>
              <w:t>справочно</w:t>
            </w:r>
            <w:r>
              <w:rPr>
                <w:sz w:val="24"/>
              </w:rPr>
              <w:t>)</w:t>
            </w:r>
          </w:p>
        </w:tc>
        <w:tc>
          <w:tcPr>
            <w:tcW w:type="dxa" w:w="1418"/>
            <w:tcBorders>
              <w:top w:color="000000" w:sz="6" w:val="single"/>
              <w:left w:color="000000" w:sz="6" w:val="single"/>
              <w:bottom w:color="000000" w:sz="6" w:val="single"/>
              <w:right w:color="000000" w:sz="6" w:val="single"/>
            </w:tcBorders>
            <w:tcMar>
              <w:top w:type="dxa" w:w="102"/>
              <w:left w:type="dxa" w:w="62"/>
              <w:bottom w:type="dxa" w:w="102"/>
              <w:right w:type="dxa" w:w="62"/>
            </w:tcMar>
            <w:vAlign w:val="center"/>
          </w:tcPr>
          <w:p w14:paraId="6F000000">
            <w:pPr>
              <w:ind/>
              <w:jc w:val="center"/>
              <w:rPr>
                <w:rFonts w:ascii="Times New Roman" w:hAnsi="Times New Roman"/>
                <w:color w:val="000000"/>
                <w:sz w:val="24"/>
              </w:rPr>
            </w:pPr>
            <w:r>
              <w:rPr>
                <w:rFonts w:ascii="Times New Roman" w:hAnsi="Times New Roman"/>
                <w:color w:val="000000"/>
                <w:sz w:val="24"/>
              </w:rPr>
              <w:t>3 066,8</w:t>
            </w:r>
          </w:p>
        </w:tc>
        <w:tc>
          <w:tcPr>
            <w:tcW w:type="dxa" w:w="1376"/>
            <w:tcBorders>
              <w:top w:color="000000" w:sz="6" w:val="single"/>
              <w:left w:color="000000" w:sz="6" w:val="single"/>
              <w:bottom w:color="000000" w:sz="6" w:val="single"/>
              <w:right w:color="000000" w:sz="6" w:val="single"/>
            </w:tcBorders>
            <w:tcMar>
              <w:top w:type="dxa" w:w="102"/>
              <w:left w:type="dxa" w:w="62"/>
              <w:bottom w:type="dxa" w:w="102"/>
              <w:right w:type="dxa" w:w="62"/>
            </w:tcMar>
            <w:vAlign w:val="center"/>
          </w:tcPr>
          <w:p w14:paraId="70000000">
            <w:pPr>
              <w:ind/>
              <w:jc w:val="center"/>
              <w:rPr>
                <w:rFonts w:ascii="Times New Roman" w:hAnsi="Times New Roman"/>
                <w:color w:val="000000"/>
                <w:sz w:val="24"/>
              </w:rPr>
            </w:pPr>
            <w:r>
              <w:rPr>
                <w:rFonts w:ascii="Times New Roman" w:hAnsi="Times New Roman"/>
                <w:color w:val="000000"/>
                <w:sz w:val="24"/>
              </w:rPr>
              <w:t>3 086,8</w:t>
            </w:r>
          </w:p>
        </w:tc>
        <w:tc>
          <w:tcPr>
            <w:tcW w:type="dxa" w:w="1308"/>
            <w:tcBorders>
              <w:top w:color="000000" w:sz="6" w:val="single"/>
              <w:left w:color="000000" w:sz="6" w:val="single"/>
              <w:bottom w:color="000000" w:sz="6" w:val="single"/>
              <w:right w:color="000000" w:sz="6" w:val="single"/>
            </w:tcBorders>
            <w:tcMar>
              <w:top w:type="dxa" w:w="102"/>
              <w:left w:type="dxa" w:w="62"/>
              <w:bottom w:type="dxa" w:w="102"/>
              <w:right w:type="dxa" w:w="62"/>
            </w:tcMar>
            <w:vAlign w:val="center"/>
          </w:tcPr>
          <w:p w14:paraId="71000000">
            <w:pPr>
              <w:ind/>
              <w:jc w:val="center"/>
              <w:rPr>
                <w:rFonts w:ascii="Times New Roman" w:hAnsi="Times New Roman"/>
                <w:color w:val="000000"/>
                <w:sz w:val="24"/>
              </w:rPr>
            </w:pPr>
            <w:r>
              <w:rPr>
                <w:rFonts w:ascii="Times New Roman" w:hAnsi="Times New Roman"/>
                <w:color w:val="000000"/>
                <w:sz w:val="24"/>
              </w:rPr>
              <w:t>740,5</w:t>
            </w:r>
          </w:p>
        </w:tc>
        <w:tc>
          <w:tcPr>
            <w:tcW w:type="dxa" w:w="1221"/>
            <w:tcBorders>
              <w:top w:color="000000" w:sz="6" w:val="single"/>
              <w:left w:color="000000" w:sz="6" w:val="single"/>
              <w:bottom w:color="000000" w:sz="6" w:val="single"/>
              <w:right w:color="000000" w:sz="6" w:val="single"/>
            </w:tcBorders>
            <w:tcMar>
              <w:top w:type="dxa" w:w="102"/>
              <w:left w:type="dxa" w:w="62"/>
              <w:bottom w:type="dxa" w:w="102"/>
              <w:right w:type="dxa" w:w="62"/>
            </w:tcMar>
            <w:vAlign w:val="center"/>
          </w:tcPr>
          <w:p w14:paraId="72000000">
            <w:pPr>
              <w:ind/>
              <w:jc w:val="center"/>
              <w:rPr>
                <w:rFonts w:ascii="Times New Roman" w:hAnsi="Times New Roman"/>
                <w:color w:val="000000"/>
                <w:sz w:val="24"/>
              </w:rPr>
            </w:pPr>
            <w:r>
              <w:rPr>
                <w:rFonts w:ascii="Times New Roman" w:hAnsi="Times New Roman"/>
                <w:color w:val="000000"/>
                <w:sz w:val="24"/>
              </w:rPr>
              <w:t>740,5</w:t>
            </w:r>
          </w:p>
        </w:tc>
        <w:tc>
          <w:tcPr>
            <w:tcW w:type="dxa" w:w="1605"/>
            <w:tcBorders>
              <w:top w:color="000000" w:sz="6" w:val="single"/>
              <w:left w:color="000000" w:sz="6" w:val="single"/>
              <w:bottom w:color="000000" w:sz="6" w:val="single"/>
              <w:right w:color="000000" w:sz="6" w:val="single"/>
            </w:tcBorders>
            <w:tcMar>
              <w:top w:type="dxa" w:w="102"/>
              <w:left w:type="dxa" w:w="62"/>
              <w:bottom w:type="dxa" w:w="102"/>
              <w:right w:type="dxa" w:w="62"/>
            </w:tcMar>
            <w:vAlign w:val="center"/>
          </w:tcPr>
          <w:p w14:paraId="73000000">
            <w:pPr>
              <w:ind/>
              <w:jc w:val="center"/>
              <w:rPr>
                <w:rFonts w:ascii="Times New Roman" w:hAnsi="Times New Roman"/>
                <w:color w:val="000000"/>
                <w:sz w:val="24"/>
              </w:rPr>
            </w:pPr>
            <w:r>
              <w:rPr>
                <w:rFonts w:ascii="Times New Roman" w:hAnsi="Times New Roman"/>
                <w:color w:val="000000"/>
                <w:sz w:val="24"/>
              </w:rPr>
              <w:t>7 634,6</w:t>
            </w:r>
          </w:p>
        </w:tc>
      </w:tr>
      <w:tr>
        <w:trPr>
          <w:trHeight w:hRule="atLeast" w:val="331"/>
        </w:trPr>
        <w:tc>
          <w:tcPr>
            <w:tcW w:type="dxa" w:w="567"/>
            <w:vMerge w:val="restart"/>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74000000">
            <w:pPr>
              <w:rPr>
                <w:sz w:val="24"/>
              </w:rPr>
            </w:pPr>
            <w:r>
              <w:rPr>
                <w:sz w:val="24"/>
              </w:rPr>
              <w:t>1.1</w:t>
            </w:r>
          </w:p>
        </w:tc>
        <w:tc>
          <w:tcPr>
            <w:tcW w:type="dxa" w:w="7657"/>
            <w:tcBorders>
              <w:top w:color="000000" w:sz="4" w:val="single"/>
              <w:left w:color="000000" w:sz="4" w:val="single"/>
              <w:bottom w:color="000000" w:sz="4" w:val="single"/>
              <w:right w:color="000000" w:sz="6" w:val="single"/>
            </w:tcBorders>
            <w:tcMar>
              <w:top w:type="dxa" w:w="102"/>
              <w:left w:type="dxa" w:w="62"/>
              <w:bottom w:type="dxa" w:w="102"/>
              <w:right w:type="dxa" w:w="62"/>
            </w:tcMar>
          </w:tcPr>
          <w:p w14:paraId="75000000">
            <w:pPr>
              <w:rPr>
                <w:sz w:val="24"/>
              </w:rPr>
            </w:pPr>
            <w:r>
              <w:rPr>
                <w:sz w:val="24"/>
              </w:rPr>
              <w:t>Иной муниципальный проект «Благоустройство территорий» (всего), в том числе:</w:t>
            </w:r>
          </w:p>
        </w:tc>
        <w:tc>
          <w:tcPr>
            <w:tcW w:type="dxa" w:w="1418"/>
            <w:tcBorders>
              <w:top w:color="000000" w:sz="6" w:val="single"/>
              <w:left w:color="000000" w:sz="6" w:val="single"/>
              <w:bottom w:color="000000" w:sz="6" w:val="single"/>
              <w:right w:color="000000" w:sz="6" w:val="single"/>
            </w:tcBorders>
            <w:tcMar>
              <w:top w:type="dxa" w:w="102"/>
              <w:left w:type="dxa" w:w="62"/>
              <w:bottom w:type="dxa" w:w="102"/>
              <w:right w:type="dxa" w:w="62"/>
            </w:tcMar>
            <w:vAlign w:val="center"/>
          </w:tcPr>
          <w:p w14:paraId="76000000">
            <w:pPr>
              <w:ind/>
              <w:jc w:val="center"/>
              <w:rPr>
                <w:rFonts w:ascii="Times New Roman" w:hAnsi="Times New Roman"/>
                <w:color w:val="000000"/>
                <w:sz w:val="24"/>
              </w:rPr>
            </w:pPr>
            <w:r>
              <w:rPr>
                <w:rFonts w:ascii="Times New Roman" w:hAnsi="Times New Roman"/>
                <w:color w:val="000000"/>
                <w:sz w:val="24"/>
              </w:rPr>
              <w:t>15 837,3</w:t>
            </w:r>
          </w:p>
        </w:tc>
        <w:tc>
          <w:tcPr>
            <w:tcW w:type="dxa" w:w="1376"/>
            <w:tcBorders>
              <w:top w:color="000000" w:sz="6" w:val="single"/>
              <w:left w:color="000000" w:sz="6" w:val="single"/>
              <w:bottom w:color="000000" w:sz="6" w:val="single"/>
              <w:right w:color="000000" w:sz="6" w:val="single"/>
            </w:tcBorders>
            <w:tcMar>
              <w:top w:type="dxa" w:w="102"/>
              <w:left w:type="dxa" w:w="62"/>
              <w:bottom w:type="dxa" w:w="102"/>
              <w:right w:type="dxa" w:w="62"/>
            </w:tcMar>
            <w:vAlign w:val="center"/>
          </w:tcPr>
          <w:p w14:paraId="77000000">
            <w:pPr>
              <w:ind/>
              <w:jc w:val="center"/>
              <w:rPr>
                <w:rFonts w:ascii="Times New Roman" w:hAnsi="Times New Roman"/>
                <w:color w:val="000000"/>
                <w:sz w:val="24"/>
              </w:rPr>
            </w:pPr>
            <w:r>
              <w:rPr>
                <w:rFonts w:ascii="Times New Roman" w:hAnsi="Times New Roman"/>
                <w:color w:val="000000"/>
                <w:sz w:val="24"/>
              </w:rPr>
              <w:t>12 715,0</w:t>
            </w:r>
          </w:p>
        </w:tc>
        <w:tc>
          <w:tcPr>
            <w:tcW w:type="dxa" w:w="1308"/>
            <w:tcBorders>
              <w:top w:color="000000" w:sz="6" w:val="single"/>
              <w:left w:color="000000" w:sz="6" w:val="single"/>
              <w:bottom w:color="000000" w:sz="6" w:val="single"/>
              <w:right w:color="000000" w:sz="6" w:val="single"/>
            </w:tcBorders>
            <w:tcMar>
              <w:top w:type="dxa" w:w="102"/>
              <w:left w:type="dxa" w:w="62"/>
              <w:bottom w:type="dxa" w:w="102"/>
              <w:right w:type="dxa" w:w="62"/>
            </w:tcMar>
            <w:vAlign w:val="center"/>
          </w:tcPr>
          <w:p w14:paraId="78000000">
            <w:pPr>
              <w:ind/>
              <w:jc w:val="center"/>
              <w:rPr>
                <w:rFonts w:ascii="Times New Roman" w:hAnsi="Times New Roman"/>
                <w:color w:val="000000"/>
                <w:sz w:val="24"/>
              </w:rPr>
            </w:pPr>
            <w:r>
              <w:rPr>
                <w:rFonts w:ascii="Times New Roman" w:hAnsi="Times New Roman"/>
                <w:color w:val="000000"/>
                <w:sz w:val="24"/>
              </w:rPr>
              <w:t>14 240,5</w:t>
            </w:r>
          </w:p>
        </w:tc>
        <w:tc>
          <w:tcPr>
            <w:tcW w:type="dxa" w:w="1221"/>
            <w:tcBorders>
              <w:top w:color="000000" w:sz="6" w:val="single"/>
              <w:left w:color="000000" w:sz="6" w:val="single"/>
              <w:bottom w:color="000000" w:sz="6" w:val="single"/>
              <w:right w:color="000000" w:sz="6" w:val="single"/>
            </w:tcBorders>
            <w:tcMar>
              <w:top w:type="dxa" w:w="102"/>
              <w:left w:type="dxa" w:w="62"/>
              <w:bottom w:type="dxa" w:w="102"/>
              <w:right w:type="dxa" w:w="62"/>
            </w:tcMar>
            <w:vAlign w:val="center"/>
          </w:tcPr>
          <w:p w14:paraId="79000000">
            <w:pPr>
              <w:ind/>
              <w:jc w:val="center"/>
              <w:rPr>
                <w:rFonts w:ascii="Times New Roman" w:hAnsi="Times New Roman"/>
                <w:color w:val="000000"/>
                <w:sz w:val="24"/>
              </w:rPr>
            </w:pPr>
            <w:r>
              <w:rPr>
                <w:rFonts w:ascii="Times New Roman" w:hAnsi="Times New Roman"/>
                <w:color w:val="000000"/>
                <w:sz w:val="24"/>
              </w:rPr>
              <w:t>14 240,5</w:t>
            </w:r>
          </w:p>
        </w:tc>
        <w:tc>
          <w:tcPr>
            <w:tcW w:type="dxa" w:w="1605"/>
            <w:tcBorders>
              <w:top w:color="000000" w:sz="6" w:val="single"/>
              <w:left w:color="000000" w:sz="6" w:val="single"/>
              <w:bottom w:color="000000" w:sz="6" w:val="single"/>
              <w:right w:color="000000" w:sz="6" w:val="single"/>
            </w:tcBorders>
            <w:tcMar>
              <w:top w:type="dxa" w:w="102"/>
              <w:left w:type="dxa" w:w="62"/>
              <w:bottom w:type="dxa" w:w="102"/>
              <w:right w:type="dxa" w:w="62"/>
            </w:tcMar>
            <w:vAlign w:val="center"/>
          </w:tcPr>
          <w:p w14:paraId="7A000000">
            <w:pPr>
              <w:ind/>
              <w:jc w:val="center"/>
              <w:rPr>
                <w:rFonts w:ascii="Times New Roman" w:hAnsi="Times New Roman"/>
                <w:color w:val="000000"/>
                <w:sz w:val="24"/>
              </w:rPr>
            </w:pPr>
            <w:r>
              <w:rPr>
                <w:rFonts w:ascii="Times New Roman" w:hAnsi="Times New Roman"/>
                <w:color w:val="000000"/>
                <w:sz w:val="24"/>
              </w:rPr>
              <w:t>57 033,3</w:t>
            </w:r>
          </w:p>
        </w:tc>
      </w:tr>
      <w:tr>
        <w:tc>
          <w:tcPr>
            <w:tcW w:type="dxa" w:w="567"/>
            <w:gridSpan w:val="1"/>
            <w:vMerge w:val="continue"/>
            <w:tcBorders>
              <w:top w:color="000000" w:sz="4" w:val="single"/>
              <w:left w:color="000000" w:sz="4" w:val="single"/>
              <w:bottom w:color="000000" w:sz="4" w:val="single"/>
              <w:right w:color="000000" w:sz="4" w:val="single"/>
            </w:tcBorders>
            <w:tcMar>
              <w:top w:type="dxa" w:w="102"/>
              <w:left w:type="dxa" w:w="62"/>
              <w:bottom w:type="dxa" w:w="102"/>
              <w:right w:type="dxa" w:w="62"/>
            </w:tcMar>
          </w:tcPr>
          <w:p/>
        </w:tc>
        <w:tc>
          <w:tcPr>
            <w:tcW w:type="dxa" w:w="7657"/>
            <w:tcBorders>
              <w:top w:color="000000" w:sz="4" w:val="single"/>
              <w:left w:color="000000" w:sz="4" w:val="single"/>
              <w:bottom w:color="000000" w:sz="4" w:val="single"/>
              <w:right w:color="000000" w:sz="6" w:val="single"/>
            </w:tcBorders>
            <w:tcMar>
              <w:top w:type="dxa" w:w="102"/>
              <w:left w:type="dxa" w:w="62"/>
              <w:bottom w:type="dxa" w:w="102"/>
              <w:right w:type="dxa" w:w="62"/>
            </w:tcMar>
          </w:tcPr>
          <w:p w14:paraId="7B000000">
            <w:pPr>
              <w:ind/>
              <w:jc w:val="right"/>
              <w:rPr>
                <w:sz w:val="24"/>
              </w:rPr>
            </w:pPr>
            <w:r>
              <w:rPr>
                <w:sz w:val="24"/>
              </w:rPr>
              <w:t>местный бюджет (всего), из них:</w:t>
            </w:r>
          </w:p>
        </w:tc>
        <w:tc>
          <w:tcPr>
            <w:tcW w:type="dxa" w:w="1418"/>
            <w:tcBorders>
              <w:top w:color="000000" w:sz="6" w:val="single"/>
              <w:left w:color="000000" w:sz="6" w:val="single"/>
              <w:bottom w:color="000000" w:sz="6" w:val="single"/>
              <w:right w:color="000000" w:sz="6" w:val="single"/>
            </w:tcBorders>
            <w:tcMar>
              <w:top w:type="dxa" w:w="102"/>
              <w:left w:type="dxa" w:w="62"/>
              <w:bottom w:type="dxa" w:w="102"/>
              <w:right w:type="dxa" w:w="62"/>
            </w:tcMar>
            <w:vAlign w:val="center"/>
          </w:tcPr>
          <w:p w14:paraId="7C000000">
            <w:pPr>
              <w:ind/>
              <w:jc w:val="center"/>
              <w:rPr>
                <w:rFonts w:ascii="Times New Roman" w:hAnsi="Times New Roman"/>
                <w:color w:val="000000"/>
                <w:sz w:val="24"/>
              </w:rPr>
            </w:pPr>
            <w:r>
              <w:rPr>
                <w:rFonts w:ascii="Times New Roman" w:hAnsi="Times New Roman"/>
                <w:color w:val="000000"/>
                <w:sz w:val="24"/>
              </w:rPr>
              <w:t>14 874,4</w:t>
            </w:r>
          </w:p>
        </w:tc>
        <w:tc>
          <w:tcPr>
            <w:tcW w:type="dxa" w:w="1376"/>
            <w:tcBorders>
              <w:top w:color="000000" w:sz="6" w:val="single"/>
              <w:left w:color="000000" w:sz="6" w:val="single"/>
              <w:bottom w:color="000000" w:sz="6" w:val="single"/>
              <w:right w:color="000000" w:sz="6" w:val="single"/>
            </w:tcBorders>
            <w:tcMar>
              <w:top w:type="dxa" w:w="102"/>
              <w:left w:type="dxa" w:w="62"/>
              <w:bottom w:type="dxa" w:w="102"/>
              <w:right w:type="dxa" w:w="62"/>
            </w:tcMar>
            <w:vAlign w:val="center"/>
          </w:tcPr>
          <w:p w14:paraId="7D000000">
            <w:pPr>
              <w:ind/>
              <w:jc w:val="center"/>
              <w:rPr>
                <w:rFonts w:ascii="Times New Roman" w:hAnsi="Times New Roman"/>
                <w:color w:val="000000"/>
                <w:sz w:val="24"/>
              </w:rPr>
            </w:pPr>
            <w:r>
              <w:rPr>
                <w:rFonts w:ascii="Times New Roman" w:hAnsi="Times New Roman"/>
                <w:color w:val="000000"/>
                <w:sz w:val="24"/>
              </w:rPr>
              <w:t>9 628,2</w:t>
            </w:r>
          </w:p>
        </w:tc>
        <w:tc>
          <w:tcPr>
            <w:tcW w:type="dxa" w:w="1308"/>
            <w:tcBorders>
              <w:top w:color="000000" w:sz="6" w:val="single"/>
              <w:left w:color="000000" w:sz="6" w:val="single"/>
              <w:bottom w:color="000000" w:sz="6" w:val="single"/>
              <w:right w:color="000000" w:sz="6" w:val="single"/>
            </w:tcBorders>
            <w:tcMar>
              <w:top w:type="dxa" w:w="102"/>
              <w:left w:type="dxa" w:w="62"/>
              <w:bottom w:type="dxa" w:w="102"/>
              <w:right w:type="dxa" w:w="62"/>
            </w:tcMar>
            <w:vAlign w:val="center"/>
          </w:tcPr>
          <w:p w14:paraId="7E000000">
            <w:pPr>
              <w:ind/>
              <w:jc w:val="center"/>
              <w:rPr>
                <w:rFonts w:ascii="Times New Roman" w:hAnsi="Times New Roman"/>
                <w:color w:val="000000"/>
                <w:sz w:val="24"/>
              </w:rPr>
            </w:pPr>
            <w:r>
              <w:rPr>
                <w:rFonts w:ascii="Times New Roman" w:hAnsi="Times New Roman"/>
                <w:color w:val="000000"/>
                <w:sz w:val="24"/>
              </w:rPr>
              <w:t>13 500,0</w:t>
            </w:r>
          </w:p>
        </w:tc>
        <w:tc>
          <w:tcPr>
            <w:tcW w:type="dxa" w:w="1221"/>
            <w:tcBorders>
              <w:top w:color="000000" w:sz="6" w:val="single"/>
              <w:left w:color="000000" w:sz="6" w:val="single"/>
              <w:bottom w:color="000000" w:sz="6" w:val="single"/>
              <w:right w:color="000000" w:sz="6" w:val="single"/>
            </w:tcBorders>
            <w:tcMar>
              <w:top w:type="dxa" w:w="102"/>
              <w:left w:type="dxa" w:w="62"/>
              <w:bottom w:type="dxa" w:w="102"/>
              <w:right w:type="dxa" w:w="62"/>
            </w:tcMar>
            <w:vAlign w:val="center"/>
          </w:tcPr>
          <w:p w14:paraId="7F000000">
            <w:pPr>
              <w:ind/>
              <w:jc w:val="center"/>
              <w:rPr>
                <w:rFonts w:ascii="Times New Roman" w:hAnsi="Times New Roman"/>
                <w:color w:val="000000"/>
                <w:sz w:val="24"/>
              </w:rPr>
            </w:pPr>
            <w:r>
              <w:rPr>
                <w:rFonts w:ascii="Times New Roman" w:hAnsi="Times New Roman"/>
                <w:color w:val="000000"/>
                <w:sz w:val="24"/>
              </w:rPr>
              <w:t>13 500,0</w:t>
            </w:r>
          </w:p>
        </w:tc>
        <w:tc>
          <w:tcPr>
            <w:tcW w:type="dxa" w:w="1605"/>
            <w:tcBorders>
              <w:top w:color="000000" w:sz="6" w:val="single"/>
              <w:left w:color="000000" w:sz="6" w:val="single"/>
              <w:bottom w:color="000000" w:sz="6" w:val="single"/>
              <w:right w:color="000000" w:sz="6" w:val="single"/>
            </w:tcBorders>
            <w:tcMar>
              <w:top w:type="dxa" w:w="102"/>
              <w:left w:type="dxa" w:w="62"/>
              <w:bottom w:type="dxa" w:w="102"/>
              <w:right w:type="dxa" w:w="62"/>
            </w:tcMar>
            <w:vAlign w:val="center"/>
          </w:tcPr>
          <w:p w14:paraId="80000000">
            <w:pPr>
              <w:ind/>
              <w:jc w:val="center"/>
              <w:rPr>
                <w:rFonts w:ascii="Times New Roman" w:hAnsi="Times New Roman"/>
                <w:color w:val="000000"/>
                <w:sz w:val="24"/>
              </w:rPr>
            </w:pPr>
            <w:r>
              <w:rPr>
                <w:rFonts w:ascii="Times New Roman" w:hAnsi="Times New Roman"/>
                <w:color w:val="000000"/>
                <w:sz w:val="24"/>
              </w:rPr>
              <w:t>51 502,6</w:t>
            </w:r>
          </w:p>
        </w:tc>
      </w:tr>
      <w:tr>
        <w:trPr>
          <w:trHeight w:hRule="atLeast" w:val="51"/>
        </w:trPr>
        <w:tc>
          <w:tcPr>
            <w:tcW w:type="dxa" w:w="567"/>
            <w:gridSpan w:val="1"/>
            <w:vMerge w:val="continue"/>
            <w:tcBorders>
              <w:top w:color="000000" w:sz="4" w:val="single"/>
              <w:left w:color="000000" w:sz="4" w:val="single"/>
              <w:bottom w:color="000000" w:sz="4" w:val="single"/>
              <w:right w:color="000000" w:sz="4" w:val="single"/>
            </w:tcBorders>
            <w:tcMar>
              <w:top w:type="dxa" w:w="102"/>
              <w:left w:type="dxa" w:w="62"/>
              <w:bottom w:type="dxa" w:w="102"/>
              <w:right w:type="dxa" w:w="62"/>
            </w:tcMar>
          </w:tcPr>
          <w:p/>
        </w:tc>
        <w:tc>
          <w:tcPr>
            <w:tcW w:type="dxa" w:w="7657"/>
            <w:tcBorders>
              <w:top w:color="000000" w:sz="4" w:val="single"/>
              <w:left w:color="000000" w:sz="4" w:val="single"/>
              <w:bottom w:color="000000" w:sz="4" w:val="single"/>
              <w:right w:color="000000" w:sz="6" w:val="single"/>
            </w:tcBorders>
            <w:tcMar>
              <w:top w:type="dxa" w:w="102"/>
              <w:left w:type="dxa" w:w="62"/>
              <w:bottom w:type="dxa" w:w="102"/>
              <w:right w:type="dxa" w:w="62"/>
            </w:tcMar>
          </w:tcPr>
          <w:p w14:paraId="81000000">
            <w:pPr>
              <w:ind/>
              <w:jc w:val="right"/>
              <w:rPr>
                <w:sz w:val="24"/>
              </w:rPr>
            </w:pPr>
            <w:r>
              <w:rPr>
                <w:sz w:val="24"/>
              </w:rPr>
              <w:t>безвозмездные поступления в местный бюджет, в том числе за счет средств:</w:t>
            </w:r>
          </w:p>
        </w:tc>
        <w:tc>
          <w:tcPr>
            <w:tcW w:type="dxa" w:w="1418"/>
            <w:tcBorders>
              <w:top w:color="000000" w:sz="6" w:val="single"/>
              <w:left w:color="000000" w:sz="6" w:val="single"/>
              <w:bottom w:color="000000" w:sz="6" w:val="single"/>
              <w:right w:color="000000" w:sz="6" w:val="single"/>
            </w:tcBorders>
            <w:tcMar>
              <w:top w:type="dxa" w:w="102"/>
              <w:left w:type="dxa" w:w="62"/>
              <w:bottom w:type="dxa" w:w="102"/>
              <w:right w:type="dxa" w:w="62"/>
            </w:tcMar>
            <w:vAlign w:val="center"/>
          </w:tcPr>
          <w:p w14:paraId="82000000">
            <w:pPr>
              <w:ind/>
              <w:jc w:val="center"/>
              <w:rPr>
                <w:rFonts w:ascii="Times New Roman" w:hAnsi="Times New Roman"/>
                <w:color w:val="000000"/>
                <w:sz w:val="24"/>
              </w:rPr>
            </w:pPr>
            <w:r>
              <w:rPr>
                <w:rFonts w:ascii="Times New Roman" w:hAnsi="Times New Roman"/>
                <w:color w:val="000000"/>
                <w:sz w:val="24"/>
              </w:rPr>
              <w:t>14 874,4</w:t>
            </w:r>
          </w:p>
        </w:tc>
        <w:tc>
          <w:tcPr>
            <w:tcW w:type="dxa" w:w="1376"/>
            <w:tcBorders>
              <w:top w:color="000000" w:sz="6" w:val="single"/>
              <w:left w:color="000000" w:sz="6" w:val="single"/>
              <w:bottom w:color="000000" w:sz="6" w:val="single"/>
              <w:right w:color="000000" w:sz="6" w:val="single"/>
            </w:tcBorders>
            <w:tcMar>
              <w:top w:type="dxa" w:w="102"/>
              <w:left w:type="dxa" w:w="62"/>
              <w:bottom w:type="dxa" w:w="102"/>
              <w:right w:type="dxa" w:w="62"/>
            </w:tcMar>
            <w:vAlign w:val="center"/>
          </w:tcPr>
          <w:p w14:paraId="83000000">
            <w:pPr>
              <w:ind/>
              <w:jc w:val="center"/>
              <w:rPr>
                <w:rFonts w:ascii="Times New Roman" w:hAnsi="Times New Roman"/>
                <w:color w:val="000000"/>
                <w:sz w:val="24"/>
              </w:rPr>
            </w:pPr>
            <w:r>
              <w:rPr>
                <w:rFonts w:ascii="Times New Roman" w:hAnsi="Times New Roman"/>
                <w:color w:val="000000"/>
                <w:sz w:val="24"/>
              </w:rPr>
              <w:t>9 628,2</w:t>
            </w:r>
          </w:p>
        </w:tc>
        <w:tc>
          <w:tcPr>
            <w:tcW w:type="dxa" w:w="1308"/>
            <w:tcBorders>
              <w:top w:color="000000" w:sz="6" w:val="single"/>
              <w:left w:color="000000" w:sz="6" w:val="single"/>
              <w:bottom w:color="000000" w:sz="6" w:val="single"/>
              <w:right w:color="000000" w:sz="6" w:val="single"/>
            </w:tcBorders>
            <w:tcMar>
              <w:top w:type="dxa" w:w="102"/>
              <w:left w:type="dxa" w:w="62"/>
              <w:bottom w:type="dxa" w:w="102"/>
              <w:right w:type="dxa" w:w="62"/>
            </w:tcMar>
            <w:vAlign w:val="center"/>
          </w:tcPr>
          <w:p w14:paraId="84000000">
            <w:pPr>
              <w:ind/>
              <w:jc w:val="center"/>
              <w:rPr>
                <w:rFonts w:ascii="Times New Roman" w:hAnsi="Times New Roman"/>
                <w:color w:val="000000"/>
                <w:sz w:val="24"/>
              </w:rPr>
            </w:pPr>
            <w:r>
              <w:rPr>
                <w:rFonts w:ascii="Times New Roman" w:hAnsi="Times New Roman"/>
                <w:color w:val="000000"/>
                <w:sz w:val="24"/>
              </w:rPr>
              <w:t>13 500,0</w:t>
            </w:r>
          </w:p>
        </w:tc>
        <w:tc>
          <w:tcPr>
            <w:tcW w:type="dxa" w:w="1221"/>
            <w:tcBorders>
              <w:top w:color="000000" w:sz="6" w:val="single"/>
              <w:left w:color="000000" w:sz="6" w:val="single"/>
              <w:bottom w:color="000000" w:sz="6" w:val="single"/>
              <w:right w:color="000000" w:sz="6" w:val="single"/>
            </w:tcBorders>
            <w:tcMar>
              <w:top w:type="dxa" w:w="102"/>
              <w:left w:type="dxa" w:w="62"/>
              <w:bottom w:type="dxa" w:w="102"/>
              <w:right w:type="dxa" w:w="62"/>
            </w:tcMar>
            <w:vAlign w:val="center"/>
          </w:tcPr>
          <w:p w14:paraId="85000000">
            <w:pPr>
              <w:ind/>
              <w:jc w:val="center"/>
              <w:rPr>
                <w:rFonts w:ascii="Times New Roman" w:hAnsi="Times New Roman"/>
                <w:color w:val="000000"/>
                <w:sz w:val="24"/>
              </w:rPr>
            </w:pPr>
            <w:r>
              <w:rPr>
                <w:rFonts w:ascii="Times New Roman" w:hAnsi="Times New Roman"/>
                <w:color w:val="000000"/>
                <w:sz w:val="24"/>
              </w:rPr>
              <w:t>13 500,0</w:t>
            </w:r>
          </w:p>
        </w:tc>
        <w:tc>
          <w:tcPr>
            <w:tcW w:type="dxa" w:w="1605"/>
            <w:tcBorders>
              <w:top w:color="000000" w:sz="6" w:val="single"/>
              <w:left w:color="000000" w:sz="6" w:val="single"/>
              <w:bottom w:color="000000" w:sz="6" w:val="single"/>
              <w:right w:color="000000" w:sz="6" w:val="single"/>
            </w:tcBorders>
            <w:tcMar>
              <w:top w:type="dxa" w:w="102"/>
              <w:left w:type="dxa" w:w="62"/>
              <w:bottom w:type="dxa" w:w="102"/>
              <w:right w:type="dxa" w:w="62"/>
            </w:tcMar>
            <w:vAlign w:val="center"/>
          </w:tcPr>
          <w:p w14:paraId="86000000">
            <w:pPr>
              <w:ind/>
              <w:jc w:val="center"/>
              <w:rPr>
                <w:rFonts w:ascii="Times New Roman" w:hAnsi="Times New Roman"/>
                <w:color w:val="000000"/>
                <w:sz w:val="24"/>
              </w:rPr>
            </w:pPr>
            <w:r>
              <w:rPr>
                <w:rFonts w:ascii="Times New Roman" w:hAnsi="Times New Roman"/>
                <w:color w:val="000000"/>
                <w:sz w:val="24"/>
              </w:rPr>
              <w:t>51 502,6</w:t>
            </w:r>
          </w:p>
        </w:tc>
      </w:tr>
      <w:tr>
        <w:tc>
          <w:tcPr>
            <w:tcW w:type="dxa" w:w="567"/>
            <w:gridSpan w:val="1"/>
            <w:vMerge w:val="continue"/>
            <w:tcBorders>
              <w:top w:color="000000" w:sz="4" w:val="single"/>
              <w:left w:color="000000" w:sz="4" w:val="single"/>
              <w:bottom w:color="000000" w:sz="4" w:val="single"/>
              <w:right w:color="000000" w:sz="4" w:val="single"/>
            </w:tcBorders>
            <w:tcMar>
              <w:top w:type="dxa" w:w="102"/>
              <w:left w:type="dxa" w:w="62"/>
              <w:bottom w:type="dxa" w:w="102"/>
              <w:right w:type="dxa" w:w="62"/>
            </w:tcMar>
          </w:tcPr>
          <w:p/>
        </w:tc>
        <w:tc>
          <w:tcPr>
            <w:tcW w:type="dxa" w:w="7657"/>
            <w:tcBorders>
              <w:top w:color="000000" w:sz="4" w:val="single"/>
              <w:left w:color="000000" w:sz="4" w:val="single"/>
              <w:bottom w:color="000000" w:sz="4" w:val="single"/>
              <w:right w:color="000000" w:sz="6" w:val="single"/>
            </w:tcBorders>
            <w:tcMar>
              <w:top w:type="dxa" w:w="102"/>
              <w:left w:type="dxa" w:w="62"/>
              <w:bottom w:type="dxa" w:w="102"/>
              <w:right w:type="dxa" w:w="62"/>
            </w:tcMar>
          </w:tcPr>
          <w:p w14:paraId="87000000">
            <w:pPr>
              <w:ind/>
              <w:jc w:val="right"/>
              <w:rPr>
                <w:sz w:val="24"/>
              </w:rPr>
            </w:pPr>
            <w:r>
              <w:rPr>
                <w:sz w:val="24"/>
              </w:rPr>
              <w:t>федеральный бюджет</w:t>
            </w:r>
          </w:p>
        </w:tc>
        <w:tc>
          <w:tcPr>
            <w:tcW w:type="dxa" w:w="1418"/>
            <w:tcBorders>
              <w:top w:color="000000" w:sz="6" w:val="single"/>
              <w:left w:color="000000" w:sz="6" w:val="single"/>
              <w:bottom w:color="000000" w:sz="6" w:val="single"/>
              <w:right w:color="000000" w:sz="6" w:val="single"/>
            </w:tcBorders>
            <w:tcMar>
              <w:top w:type="dxa" w:w="102"/>
              <w:left w:type="dxa" w:w="62"/>
              <w:bottom w:type="dxa" w:w="102"/>
              <w:right w:type="dxa" w:w="62"/>
            </w:tcMar>
            <w:vAlign w:val="center"/>
          </w:tcPr>
          <w:p w14:paraId="88000000">
            <w:pPr>
              <w:ind/>
              <w:jc w:val="center"/>
              <w:rPr>
                <w:rFonts w:ascii="Times New Roman" w:hAnsi="Times New Roman"/>
                <w:color w:val="000000"/>
                <w:sz w:val="24"/>
              </w:rPr>
            </w:pPr>
            <w:r>
              <w:rPr>
                <w:rFonts w:ascii="Times New Roman" w:hAnsi="Times New Roman"/>
                <w:color w:val="000000"/>
                <w:sz w:val="24"/>
              </w:rPr>
              <w:t xml:space="preserve"> 0,0</w:t>
            </w:r>
          </w:p>
        </w:tc>
        <w:tc>
          <w:tcPr>
            <w:tcW w:type="dxa" w:w="1376"/>
            <w:tcBorders>
              <w:top w:color="000000" w:sz="6" w:val="single"/>
              <w:left w:color="000000" w:sz="6" w:val="single"/>
              <w:bottom w:color="000000" w:sz="6" w:val="single"/>
              <w:right w:color="000000" w:sz="6" w:val="single"/>
            </w:tcBorders>
            <w:tcMar>
              <w:top w:type="dxa" w:w="102"/>
              <w:left w:type="dxa" w:w="62"/>
              <w:bottom w:type="dxa" w:w="102"/>
              <w:right w:type="dxa" w:w="62"/>
            </w:tcMar>
            <w:vAlign w:val="center"/>
          </w:tcPr>
          <w:p w14:paraId="89000000">
            <w:pPr>
              <w:ind/>
              <w:jc w:val="center"/>
              <w:rPr>
                <w:rFonts w:ascii="Times New Roman" w:hAnsi="Times New Roman"/>
                <w:color w:val="000000"/>
                <w:sz w:val="24"/>
              </w:rPr>
            </w:pPr>
            <w:r>
              <w:rPr>
                <w:rFonts w:ascii="Times New Roman" w:hAnsi="Times New Roman"/>
                <w:color w:val="000000"/>
                <w:sz w:val="24"/>
              </w:rPr>
              <w:t xml:space="preserve"> 0,0</w:t>
            </w:r>
          </w:p>
        </w:tc>
        <w:tc>
          <w:tcPr>
            <w:tcW w:type="dxa" w:w="1308"/>
            <w:tcBorders>
              <w:top w:color="000000" w:sz="6" w:val="single"/>
              <w:left w:color="000000" w:sz="6" w:val="single"/>
              <w:bottom w:color="000000" w:sz="6" w:val="single"/>
              <w:right w:color="000000" w:sz="6" w:val="single"/>
            </w:tcBorders>
            <w:tcMar>
              <w:top w:type="dxa" w:w="102"/>
              <w:left w:type="dxa" w:w="62"/>
              <w:bottom w:type="dxa" w:w="102"/>
              <w:right w:type="dxa" w:w="62"/>
            </w:tcMar>
            <w:vAlign w:val="center"/>
          </w:tcPr>
          <w:p w14:paraId="8A000000">
            <w:pPr>
              <w:ind/>
              <w:jc w:val="center"/>
              <w:rPr>
                <w:rFonts w:ascii="Times New Roman" w:hAnsi="Times New Roman"/>
                <w:color w:val="000000"/>
                <w:sz w:val="24"/>
              </w:rPr>
            </w:pPr>
            <w:r>
              <w:rPr>
                <w:rFonts w:ascii="Times New Roman" w:hAnsi="Times New Roman"/>
                <w:color w:val="000000"/>
                <w:sz w:val="24"/>
              </w:rPr>
              <w:t xml:space="preserve"> 0,0</w:t>
            </w:r>
          </w:p>
        </w:tc>
        <w:tc>
          <w:tcPr>
            <w:tcW w:type="dxa" w:w="1221"/>
            <w:tcBorders>
              <w:top w:color="000000" w:sz="6" w:val="single"/>
              <w:left w:color="000000" w:sz="6" w:val="single"/>
              <w:bottom w:color="000000" w:sz="6" w:val="single"/>
              <w:right w:color="000000" w:sz="6" w:val="single"/>
            </w:tcBorders>
            <w:tcMar>
              <w:top w:type="dxa" w:w="102"/>
              <w:left w:type="dxa" w:w="62"/>
              <w:bottom w:type="dxa" w:w="102"/>
              <w:right w:type="dxa" w:w="62"/>
            </w:tcMar>
            <w:vAlign w:val="center"/>
          </w:tcPr>
          <w:p w14:paraId="8B000000">
            <w:pPr>
              <w:ind/>
              <w:jc w:val="center"/>
              <w:rPr>
                <w:rFonts w:ascii="Times New Roman" w:hAnsi="Times New Roman"/>
                <w:color w:val="000000"/>
                <w:sz w:val="24"/>
              </w:rPr>
            </w:pPr>
            <w:r>
              <w:rPr>
                <w:rFonts w:ascii="Times New Roman" w:hAnsi="Times New Roman"/>
                <w:color w:val="000000"/>
                <w:sz w:val="24"/>
              </w:rPr>
              <w:t xml:space="preserve"> 0,0</w:t>
            </w:r>
          </w:p>
        </w:tc>
        <w:tc>
          <w:tcPr>
            <w:tcW w:type="dxa" w:w="1605"/>
            <w:tcBorders>
              <w:top w:color="000000" w:sz="6" w:val="single"/>
              <w:left w:color="000000" w:sz="6" w:val="single"/>
              <w:bottom w:color="000000" w:sz="6" w:val="single"/>
              <w:right w:color="000000" w:sz="6" w:val="single"/>
            </w:tcBorders>
            <w:tcMar>
              <w:top w:type="dxa" w:w="102"/>
              <w:left w:type="dxa" w:w="62"/>
              <w:bottom w:type="dxa" w:w="102"/>
              <w:right w:type="dxa" w:w="62"/>
            </w:tcMar>
            <w:vAlign w:val="center"/>
          </w:tcPr>
          <w:p w14:paraId="8C000000">
            <w:pPr>
              <w:ind/>
              <w:jc w:val="center"/>
              <w:rPr>
                <w:rFonts w:ascii="Times New Roman" w:hAnsi="Times New Roman"/>
                <w:color w:val="000000"/>
                <w:sz w:val="24"/>
              </w:rPr>
            </w:pPr>
            <w:r>
              <w:rPr>
                <w:rFonts w:ascii="Times New Roman" w:hAnsi="Times New Roman"/>
                <w:color w:val="000000"/>
                <w:sz w:val="24"/>
              </w:rPr>
              <w:t xml:space="preserve"> 0,0</w:t>
            </w:r>
          </w:p>
        </w:tc>
      </w:tr>
      <w:tr>
        <w:tc>
          <w:tcPr>
            <w:tcW w:type="dxa" w:w="567"/>
            <w:gridSpan w:val="1"/>
            <w:vMerge w:val="continue"/>
            <w:tcBorders>
              <w:top w:color="000000" w:sz="4" w:val="single"/>
              <w:left w:color="000000" w:sz="4" w:val="single"/>
              <w:bottom w:color="000000" w:sz="4" w:val="single"/>
              <w:right w:color="000000" w:sz="4" w:val="single"/>
            </w:tcBorders>
            <w:tcMar>
              <w:top w:type="dxa" w:w="102"/>
              <w:left w:type="dxa" w:w="62"/>
              <w:bottom w:type="dxa" w:w="102"/>
              <w:right w:type="dxa" w:w="62"/>
            </w:tcMar>
          </w:tcPr>
          <w:p/>
        </w:tc>
        <w:tc>
          <w:tcPr>
            <w:tcW w:type="dxa" w:w="7657"/>
            <w:tcBorders>
              <w:top w:color="000000" w:sz="4" w:val="single"/>
              <w:left w:color="000000" w:sz="4" w:val="single"/>
              <w:bottom w:color="000000" w:sz="4" w:val="single"/>
              <w:right w:color="000000" w:sz="6" w:val="single"/>
            </w:tcBorders>
            <w:tcMar>
              <w:top w:type="dxa" w:w="102"/>
              <w:left w:type="dxa" w:w="62"/>
              <w:bottom w:type="dxa" w:w="102"/>
              <w:right w:type="dxa" w:w="62"/>
            </w:tcMar>
          </w:tcPr>
          <w:p w14:paraId="8D000000">
            <w:pPr>
              <w:ind/>
              <w:jc w:val="right"/>
              <w:rPr>
                <w:sz w:val="24"/>
                <w:highlight w:val="yellow"/>
              </w:rPr>
            </w:pPr>
            <w:r>
              <w:rPr>
                <w:sz w:val="24"/>
              </w:rPr>
              <w:t>областной бюджет</w:t>
            </w:r>
          </w:p>
        </w:tc>
        <w:tc>
          <w:tcPr>
            <w:tcW w:type="dxa" w:w="1418"/>
            <w:tcBorders>
              <w:top w:color="000000" w:sz="6" w:val="single"/>
              <w:left w:color="000000" w:sz="6" w:val="single"/>
              <w:bottom w:color="000000" w:sz="6" w:val="single"/>
              <w:right w:color="000000" w:sz="6" w:val="single"/>
            </w:tcBorders>
            <w:tcMar>
              <w:top w:type="dxa" w:w="102"/>
              <w:left w:type="dxa" w:w="62"/>
              <w:bottom w:type="dxa" w:w="102"/>
              <w:right w:type="dxa" w:w="62"/>
            </w:tcMar>
            <w:vAlign w:val="center"/>
          </w:tcPr>
          <w:p w14:paraId="8E000000">
            <w:pPr>
              <w:ind/>
              <w:jc w:val="center"/>
              <w:rPr>
                <w:rFonts w:ascii="Times New Roman" w:hAnsi="Times New Roman"/>
                <w:color w:val="000000"/>
                <w:sz w:val="24"/>
              </w:rPr>
            </w:pPr>
            <w:r>
              <w:rPr>
                <w:rFonts w:ascii="Times New Roman" w:hAnsi="Times New Roman"/>
                <w:color w:val="000000"/>
                <w:sz w:val="24"/>
              </w:rPr>
              <w:t>14 874,4</w:t>
            </w:r>
          </w:p>
        </w:tc>
        <w:tc>
          <w:tcPr>
            <w:tcW w:type="dxa" w:w="1376"/>
            <w:tcBorders>
              <w:top w:color="000000" w:sz="6" w:val="single"/>
              <w:left w:color="000000" w:sz="6" w:val="single"/>
              <w:bottom w:color="000000" w:sz="6" w:val="single"/>
              <w:right w:color="000000" w:sz="6" w:val="single"/>
            </w:tcBorders>
            <w:tcMar>
              <w:top w:type="dxa" w:w="102"/>
              <w:left w:type="dxa" w:w="62"/>
              <w:bottom w:type="dxa" w:w="102"/>
              <w:right w:type="dxa" w:w="62"/>
            </w:tcMar>
            <w:vAlign w:val="center"/>
          </w:tcPr>
          <w:p w14:paraId="8F000000">
            <w:pPr>
              <w:ind/>
              <w:jc w:val="center"/>
              <w:rPr>
                <w:rFonts w:ascii="Times New Roman" w:hAnsi="Times New Roman"/>
                <w:color w:val="000000"/>
                <w:sz w:val="24"/>
              </w:rPr>
            </w:pPr>
            <w:r>
              <w:rPr>
                <w:rFonts w:ascii="Times New Roman" w:hAnsi="Times New Roman"/>
                <w:color w:val="000000"/>
                <w:sz w:val="24"/>
              </w:rPr>
              <w:t>9 628,2</w:t>
            </w:r>
          </w:p>
        </w:tc>
        <w:tc>
          <w:tcPr>
            <w:tcW w:type="dxa" w:w="1308"/>
            <w:tcBorders>
              <w:top w:color="000000" w:sz="6" w:val="single"/>
              <w:left w:color="000000" w:sz="6" w:val="single"/>
              <w:bottom w:color="000000" w:sz="6" w:val="single"/>
              <w:right w:color="000000" w:sz="6" w:val="single"/>
            </w:tcBorders>
            <w:tcMar>
              <w:top w:type="dxa" w:w="102"/>
              <w:left w:type="dxa" w:w="62"/>
              <w:bottom w:type="dxa" w:w="102"/>
              <w:right w:type="dxa" w:w="62"/>
            </w:tcMar>
            <w:vAlign w:val="center"/>
          </w:tcPr>
          <w:p w14:paraId="90000000">
            <w:pPr>
              <w:ind/>
              <w:jc w:val="center"/>
              <w:rPr>
                <w:rFonts w:ascii="Times New Roman" w:hAnsi="Times New Roman"/>
                <w:color w:val="000000"/>
                <w:sz w:val="24"/>
              </w:rPr>
            </w:pPr>
            <w:r>
              <w:rPr>
                <w:rFonts w:ascii="Times New Roman" w:hAnsi="Times New Roman"/>
                <w:color w:val="000000"/>
                <w:sz w:val="24"/>
              </w:rPr>
              <w:t>13 500,0</w:t>
            </w:r>
          </w:p>
        </w:tc>
        <w:tc>
          <w:tcPr>
            <w:tcW w:type="dxa" w:w="1221"/>
            <w:tcBorders>
              <w:top w:color="000000" w:sz="6" w:val="single"/>
              <w:left w:color="000000" w:sz="6" w:val="single"/>
              <w:bottom w:color="000000" w:sz="6" w:val="single"/>
              <w:right w:color="000000" w:sz="6" w:val="single"/>
            </w:tcBorders>
            <w:tcMar>
              <w:top w:type="dxa" w:w="102"/>
              <w:left w:type="dxa" w:w="62"/>
              <w:bottom w:type="dxa" w:w="102"/>
              <w:right w:type="dxa" w:w="62"/>
            </w:tcMar>
            <w:vAlign w:val="center"/>
          </w:tcPr>
          <w:p w14:paraId="91000000">
            <w:pPr>
              <w:ind/>
              <w:jc w:val="center"/>
              <w:rPr>
                <w:rFonts w:ascii="Times New Roman" w:hAnsi="Times New Roman"/>
                <w:color w:val="000000"/>
                <w:sz w:val="24"/>
              </w:rPr>
            </w:pPr>
            <w:r>
              <w:rPr>
                <w:rFonts w:ascii="Times New Roman" w:hAnsi="Times New Roman"/>
                <w:color w:val="000000"/>
                <w:sz w:val="24"/>
              </w:rPr>
              <w:t>13 500,0</w:t>
            </w:r>
          </w:p>
        </w:tc>
        <w:tc>
          <w:tcPr>
            <w:tcW w:type="dxa" w:w="1605"/>
            <w:tcBorders>
              <w:top w:color="000000" w:sz="6" w:val="single"/>
              <w:left w:color="000000" w:sz="6" w:val="single"/>
              <w:bottom w:color="000000" w:sz="6" w:val="single"/>
              <w:right w:color="000000" w:sz="6" w:val="single"/>
            </w:tcBorders>
            <w:tcMar>
              <w:top w:type="dxa" w:w="102"/>
              <w:left w:type="dxa" w:w="62"/>
              <w:bottom w:type="dxa" w:w="102"/>
              <w:right w:type="dxa" w:w="62"/>
            </w:tcMar>
            <w:vAlign w:val="center"/>
          </w:tcPr>
          <w:p w14:paraId="92000000">
            <w:pPr>
              <w:ind/>
              <w:jc w:val="center"/>
              <w:rPr>
                <w:rFonts w:ascii="Times New Roman" w:hAnsi="Times New Roman"/>
                <w:color w:val="000000"/>
                <w:sz w:val="24"/>
              </w:rPr>
            </w:pPr>
            <w:r>
              <w:rPr>
                <w:rFonts w:ascii="Times New Roman" w:hAnsi="Times New Roman"/>
                <w:color w:val="000000"/>
                <w:sz w:val="24"/>
              </w:rPr>
              <w:t>51 502,6</w:t>
            </w:r>
          </w:p>
        </w:tc>
      </w:tr>
      <w:tr>
        <w:tc>
          <w:tcPr>
            <w:tcW w:type="dxa" w:w="567"/>
            <w:gridSpan w:val="1"/>
            <w:vMerge w:val="continue"/>
            <w:tcBorders>
              <w:top w:color="000000" w:sz="4" w:val="single"/>
              <w:left w:color="000000" w:sz="4" w:val="single"/>
              <w:bottom w:color="000000" w:sz="4" w:val="single"/>
              <w:right w:color="000000" w:sz="4" w:val="single"/>
            </w:tcBorders>
            <w:tcMar>
              <w:top w:type="dxa" w:w="102"/>
              <w:left w:type="dxa" w:w="62"/>
              <w:bottom w:type="dxa" w:w="102"/>
              <w:right w:type="dxa" w:w="62"/>
            </w:tcMar>
          </w:tcPr>
          <w:p/>
        </w:tc>
        <w:tc>
          <w:tcPr>
            <w:tcW w:type="dxa" w:w="7657"/>
            <w:tcBorders>
              <w:top w:color="000000" w:sz="4" w:val="single"/>
              <w:left w:color="000000" w:sz="4" w:val="single"/>
              <w:bottom w:color="000000" w:sz="4" w:val="single"/>
              <w:right w:color="000000" w:sz="6" w:val="single"/>
            </w:tcBorders>
            <w:tcMar>
              <w:top w:type="dxa" w:w="102"/>
              <w:left w:type="dxa" w:w="62"/>
              <w:bottom w:type="dxa" w:w="102"/>
              <w:right w:type="dxa" w:w="62"/>
            </w:tcMar>
          </w:tcPr>
          <w:p w14:paraId="93000000">
            <w:pPr>
              <w:ind/>
              <w:jc w:val="right"/>
              <w:rPr>
                <w:sz w:val="24"/>
              </w:rPr>
            </w:pPr>
            <w:r>
              <w:rPr>
                <w:sz w:val="24"/>
              </w:rPr>
              <w:t>консолидированные бюджеты поселений (</w:t>
            </w:r>
            <w:r>
              <w:rPr>
                <w:sz w:val="24"/>
              </w:rPr>
              <w:t>справочно</w:t>
            </w:r>
            <w:r>
              <w:rPr>
                <w:sz w:val="24"/>
              </w:rPr>
              <w:t>)</w:t>
            </w:r>
          </w:p>
        </w:tc>
        <w:tc>
          <w:tcPr>
            <w:tcW w:type="dxa" w:w="1418"/>
            <w:tcBorders>
              <w:top w:color="000000" w:sz="6" w:val="single"/>
              <w:left w:color="000000" w:sz="6" w:val="single"/>
              <w:bottom w:color="000000" w:sz="6" w:val="single"/>
              <w:right w:color="000000" w:sz="6" w:val="single"/>
            </w:tcBorders>
            <w:tcMar>
              <w:top w:type="dxa" w:w="102"/>
              <w:left w:type="dxa" w:w="62"/>
              <w:bottom w:type="dxa" w:w="102"/>
              <w:right w:type="dxa" w:w="62"/>
            </w:tcMar>
            <w:vAlign w:val="center"/>
          </w:tcPr>
          <w:p w14:paraId="94000000">
            <w:pPr>
              <w:ind/>
              <w:jc w:val="center"/>
              <w:rPr>
                <w:rFonts w:ascii="Times New Roman" w:hAnsi="Times New Roman"/>
                <w:color w:val="000000"/>
                <w:sz w:val="24"/>
              </w:rPr>
            </w:pPr>
            <w:r>
              <w:rPr>
                <w:rFonts w:ascii="Times New Roman" w:hAnsi="Times New Roman"/>
                <w:color w:val="000000"/>
                <w:sz w:val="24"/>
              </w:rPr>
              <w:t xml:space="preserve"> 962,9</w:t>
            </w:r>
          </w:p>
        </w:tc>
        <w:tc>
          <w:tcPr>
            <w:tcW w:type="dxa" w:w="1376"/>
            <w:tcBorders>
              <w:top w:color="000000" w:sz="6" w:val="single"/>
              <w:left w:color="000000" w:sz="6" w:val="single"/>
              <w:bottom w:color="000000" w:sz="6" w:val="single"/>
              <w:right w:color="000000" w:sz="6" w:val="single"/>
            </w:tcBorders>
            <w:tcMar>
              <w:top w:type="dxa" w:w="102"/>
              <w:left w:type="dxa" w:w="62"/>
              <w:bottom w:type="dxa" w:w="102"/>
              <w:right w:type="dxa" w:w="62"/>
            </w:tcMar>
            <w:vAlign w:val="center"/>
          </w:tcPr>
          <w:p w14:paraId="95000000">
            <w:pPr>
              <w:ind/>
              <w:jc w:val="center"/>
              <w:rPr>
                <w:rFonts w:ascii="Times New Roman" w:hAnsi="Times New Roman"/>
                <w:color w:val="000000"/>
                <w:sz w:val="24"/>
              </w:rPr>
            </w:pPr>
            <w:r>
              <w:rPr>
                <w:rFonts w:ascii="Times New Roman" w:hAnsi="Times New Roman"/>
                <w:color w:val="000000"/>
                <w:sz w:val="24"/>
              </w:rPr>
              <w:t>3 086,8</w:t>
            </w:r>
          </w:p>
        </w:tc>
        <w:tc>
          <w:tcPr>
            <w:tcW w:type="dxa" w:w="1308"/>
            <w:tcBorders>
              <w:top w:color="000000" w:sz="6" w:val="single"/>
              <w:left w:color="000000" w:sz="6" w:val="single"/>
              <w:bottom w:color="000000" w:sz="6" w:val="single"/>
              <w:right w:color="000000" w:sz="6" w:val="single"/>
            </w:tcBorders>
            <w:tcMar>
              <w:top w:type="dxa" w:w="102"/>
              <w:left w:type="dxa" w:w="62"/>
              <w:bottom w:type="dxa" w:w="102"/>
              <w:right w:type="dxa" w:w="62"/>
            </w:tcMar>
            <w:vAlign w:val="center"/>
          </w:tcPr>
          <w:p w14:paraId="96000000">
            <w:pPr>
              <w:ind/>
              <w:jc w:val="center"/>
              <w:rPr>
                <w:rFonts w:ascii="Times New Roman" w:hAnsi="Times New Roman"/>
                <w:color w:val="000000"/>
                <w:sz w:val="24"/>
              </w:rPr>
            </w:pPr>
            <w:r>
              <w:rPr>
                <w:rFonts w:ascii="Times New Roman" w:hAnsi="Times New Roman"/>
                <w:color w:val="000000"/>
                <w:sz w:val="24"/>
              </w:rPr>
              <w:t xml:space="preserve"> 740,5</w:t>
            </w:r>
          </w:p>
        </w:tc>
        <w:tc>
          <w:tcPr>
            <w:tcW w:type="dxa" w:w="1221"/>
            <w:tcBorders>
              <w:top w:color="000000" w:sz="6" w:val="single"/>
              <w:left w:color="000000" w:sz="6" w:val="single"/>
              <w:bottom w:color="000000" w:sz="6" w:val="single"/>
              <w:right w:color="000000" w:sz="6" w:val="single"/>
            </w:tcBorders>
            <w:tcMar>
              <w:top w:type="dxa" w:w="102"/>
              <w:left w:type="dxa" w:w="62"/>
              <w:bottom w:type="dxa" w:w="102"/>
              <w:right w:type="dxa" w:w="62"/>
            </w:tcMar>
            <w:vAlign w:val="center"/>
          </w:tcPr>
          <w:p w14:paraId="97000000">
            <w:pPr>
              <w:ind/>
              <w:jc w:val="center"/>
              <w:rPr>
                <w:rFonts w:ascii="Times New Roman" w:hAnsi="Times New Roman"/>
                <w:color w:val="000000"/>
                <w:sz w:val="24"/>
              </w:rPr>
            </w:pPr>
            <w:r>
              <w:rPr>
                <w:rFonts w:ascii="Times New Roman" w:hAnsi="Times New Roman"/>
                <w:color w:val="000000"/>
                <w:sz w:val="24"/>
              </w:rPr>
              <w:t>740,5</w:t>
            </w:r>
          </w:p>
        </w:tc>
        <w:tc>
          <w:tcPr>
            <w:tcW w:type="dxa" w:w="1605"/>
            <w:tcBorders>
              <w:top w:color="000000" w:sz="6" w:val="single"/>
              <w:left w:color="000000" w:sz="6" w:val="single"/>
              <w:bottom w:color="000000" w:sz="6" w:val="single"/>
              <w:right w:color="000000" w:sz="6" w:val="single"/>
            </w:tcBorders>
            <w:tcMar>
              <w:top w:type="dxa" w:w="102"/>
              <w:left w:type="dxa" w:w="62"/>
              <w:bottom w:type="dxa" w:w="102"/>
              <w:right w:type="dxa" w:w="62"/>
            </w:tcMar>
            <w:vAlign w:val="center"/>
          </w:tcPr>
          <w:p w14:paraId="98000000">
            <w:pPr>
              <w:ind/>
              <w:jc w:val="center"/>
              <w:rPr>
                <w:rFonts w:ascii="Times New Roman" w:hAnsi="Times New Roman"/>
                <w:color w:val="000000"/>
                <w:sz w:val="24"/>
              </w:rPr>
            </w:pPr>
            <w:r>
              <w:rPr>
                <w:rFonts w:ascii="Times New Roman" w:hAnsi="Times New Roman"/>
                <w:color w:val="000000"/>
                <w:sz w:val="24"/>
              </w:rPr>
              <w:t>5 530,7</w:t>
            </w:r>
          </w:p>
        </w:tc>
      </w:tr>
      <w:tr>
        <w:trPr>
          <w:trHeight w:hRule="atLeast" w:val="515"/>
        </w:trPr>
        <w:tc>
          <w:tcPr>
            <w:tcW w:type="dxa" w:w="567"/>
            <w:vMerge w:val="restart"/>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99000000">
            <w:pPr>
              <w:rPr>
                <w:sz w:val="24"/>
              </w:rPr>
            </w:pPr>
            <w:r>
              <w:rPr>
                <w:sz w:val="24"/>
              </w:rPr>
              <w:t>1.2.</w:t>
            </w:r>
          </w:p>
        </w:tc>
        <w:tc>
          <w:tcPr>
            <w:tcW w:type="dxa" w:w="7657"/>
            <w:tcBorders>
              <w:top w:color="000000" w:sz="4" w:val="single"/>
              <w:left w:color="000000" w:sz="4" w:val="single"/>
              <w:bottom w:color="000000" w:sz="4" w:val="single"/>
              <w:right w:color="000000" w:sz="6" w:val="single"/>
            </w:tcBorders>
            <w:tcMar>
              <w:top w:type="dxa" w:w="102"/>
              <w:left w:type="dxa" w:w="62"/>
              <w:bottom w:type="dxa" w:w="102"/>
              <w:right w:type="dxa" w:w="62"/>
            </w:tcMar>
          </w:tcPr>
          <w:p w14:paraId="9A000000">
            <w:pPr>
              <w:rPr>
                <w:sz w:val="24"/>
              </w:rPr>
            </w:pPr>
            <w:r>
              <w:rPr>
                <w:sz w:val="24"/>
              </w:rPr>
              <w:t>Муниципальный проект «Формирование комфортной городской среды» по национальному проекту «Инфраструктура для жизни» (всего), в том числе:</w:t>
            </w:r>
          </w:p>
        </w:tc>
        <w:tc>
          <w:tcPr>
            <w:tcW w:type="dxa" w:w="1418"/>
            <w:tcBorders>
              <w:top w:color="000000" w:sz="6" w:val="single"/>
              <w:left w:color="000000" w:sz="6" w:val="single"/>
              <w:bottom w:color="000000" w:sz="6" w:val="single"/>
              <w:right w:color="000000" w:sz="6" w:val="single"/>
            </w:tcBorders>
            <w:tcMar>
              <w:top w:type="dxa" w:w="102"/>
              <w:left w:type="dxa" w:w="62"/>
              <w:bottom w:type="dxa" w:w="102"/>
              <w:right w:type="dxa" w:w="62"/>
            </w:tcMar>
            <w:vAlign w:val="center"/>
          </w:tcPr>
          <w:p w14:paraId="9B000000">
            <w:pPr>
              <w:ind/>
              <w:jc w:val="center"/>
              <w:rPr>
                <w:rFonts w:ascii="Times New Roman" w:hAnsi="Times New Roman"/>
                <w:color w:val="000000"/>
                <w:sz w:val="24"/>
              </w:rPr>
            </w:pPr>
            <w:r>
              <w:rPr>
                <w:rFonts w:ascii="Times New Roman" w:hAnsi="Times New Roman"/>
                <w:color w:val="000000"/>
                <w:sz w:val="24"/>
              </w:rPr>
              <w:t>40 459,4</w:t>
            </w:r>
          </w:p>
        </w:tc>
        <w:tc>
          <w:tcPr>
            <w:tcW w:type="dxa" w:w="1376"/>
            <w:tcBorders>
              <w:top w:color="000000" w:sz="6" w:val="single"/>
              <w:left w:color="000000" w:sz="6" w:val="single"/>
              <w:bottom w:color="000000" w:sz="6" w:val="single"/>
              <w:right w:color="000000" w:sz="6" w:val="single"/>
            </w:tcBorders>
            <w:tcMar>
              <w:top w:type="dxa" w:w="102"/>
              <w:left w:type="dxa" w:w="62"/>
              <w:bottom w:type="dxa" w:w="102"/>
              <w:right w:type="dxa" w:w="62"/>
            </w:tcMar>
            <w:vAlign w:val="center"/>
          </w:tcPr>
          <w:p w14:paraId="9C000000">
            <w:pPr>
              <w:ind/>
              <w:jc w:val="center"/>
              <w:rPr>
                <w:rFonts w:ascii="Times New Roman" w:hAnsi="Times New Roman"/>
                <w:color w:val="000000"/>
                <w:sz w:val="24"/>
              </w:rPr>
            </w:pPr>
            <w:r>
              <w:rPr>
                <w:rFonts w:ascii="Times New Roman" w:hAnsi="Times New Roman"/>
                <w:color w:val="000000"/>
                <w:sz w:val="24"/>
              </w:rPr>
              <w:t>19 525,8</w:t>
            </w:r>
          </w:p>
        </w:tc>
        <w:tc>
          <w:tcPr>
            <w:tcW w:type="dxa" w:w="1308"/>
            <w:tcBorders>
              <w:top w:color="000000" w:sz="6" w:val="single"/>
              <w:left w:color="000000" w:sz="6" w:val="single"/>
              <w:bottom w:color="000000" w:sz="6" w:val="single"/>
              <w:right w:color="000000" w:sz="6" w:val="single"/>
            </w:tcBorders>
            <w:tcMar>
              <w:top w:type="dxa" w:w="102"/>
              <w:left w:type="dxa" w:w="62"/>
              <w:bottom w:type="dxa" w:w="102"/>
              <w:right w:type="dxa" w:w="62"/>
            </w:tcMar>
            <w:vAlign w:val="center"/>
          </w:tcPr>
          <w:p w14:paraId="9D000000">
            <w:pPr>
              <w:ind/>
              <w:jc w:val="center"/>
              <w:rPr>
                <w:rFonts w:ascii="Times New Roman" w:hAnsi="Times New Roman"/>
                <w:color w:val="000000"/>
                <w:sz w:val="24"/>
              </w:rPr>
            </w:pPr>
            <w:r>
              <w:rPr>
                <w:rFonts w:ascii="Times New Roman" w:hAnsi="Times New Roman"/>
                <w:color w:val="000000"/>
                <w:sz w:val="24"/>
              </w:rPr>
              <w:t>10 498,8</w:t>
            </w:r>
          </w:p>
        </w:tc>
        <w:tc>
          <w:tcPr>
            <w:tcW w:type="dxa" w:w="1221"/>
            <w:tcBorders>
              <w:top w:color="000000" w:sz="6" w:val="single"/>
              <w:left w:color="000000" w:sz="6" w:val="single"/>
              <w:bottom w:color="000000" w:sz="6" w:val="single"/>
              <w:right w:color="000000" w:sz="6" w:val="single"/>
            </w:tcBorders>
            <w:tcMar>
              <w:top w:type="dxa" w:w="102"/>
              <w:left w:type="dxa" w:w="62"/>
              <w:bottom w:type="dxa" w:w="102"/>
              <w:right w:type="dxa" w:w="62"/>
            </w:tcMar>
            <w:vAlign w:val="center"/>
          </w:tcPr>
          <w:p w14:paraId="9E000000">
            <w:pPr>
              <w:ind/>
              <w:jc w:val="center"/>
              <w:rPr>
                <w:rFonts w:ascii="Times New Roman" w:hAnsi="Times New Roman"/>
                <w:color w:val="000000"/>
                <w:sz w:val="24"/>
              </w:rPr>
            </w:pPr>
            <w:r>
              <w:rPr>
                <w:rFonts w:ascii="Times New Roman" w:hAnsi="Times New Roman"/>
                <w:color w:val="000000"/>
                <w:sz w:val="24"/>
              </w:rPr>
              <w:t>10 789,3</w:t>
            </w:r>
          </w:p>
        </w:tc>
        <w:tc>
          <w:tcPr>
            <w:tcW w:type="dxa" w:w="1605"/>
            <w:tcBorders>
              <w:top w:color="000000" w:sz="6" w:val="single"/>
              <w:left w:color="000000" w:sz="6" w:val="single"/>
              <w:bottom w:color="000000" w:sz="6" w:val="single"/>
              <w:right w:color="000000" w:sz="6" w:val="single"/>
            </w:tcBorders>
            <w:tcMar>
              <w:top w:type="dxa" w:w="102"/>
              <w:left w:type="dxa" w:w="62"/>
              <w:bottom w:type="dxa" w:w="102"/>
              <w:right w:type="dxa" w:w="62"/>
            </w:tcMar>
            <w:vAlign w:val="center"/>
          </w:tcPr>
          <w:p w14:paraId="9F000000">
            <w:pPr>
              <w:ind/>
              <w:jc w:val="center"/>
              <w:rPr>
                <w:rFonts w:ascii="Times New Roman" w:hAnsi="Times New Roman"/>
                <w:color w:val="000000"/>
                <w:sz w:val="24"/>
              </w:rPr>
            </w:pPr>
            <w:r>
              <w:rPr>
                <w:rFonts w:ascii="Times New Roman" w:hAnsi="Times New Roman"/>
                <w:color w:val="000000"/>
                <w:sz w:val="24"/>
              </w:rPr>
              <w:t>81 273,3</w:t>
            </w:r>
          </w:p>
        </w:tc>
      </w:tr>
      <w:tr>
        <w:trPr>
          <w:trHeight w:hRule="atLeast" w:val="273"/>
        </w:trPr>
        <w:tc>
          <w:tcPr>
            <w:tcW w:type="dxa" w:w="567"/>
            <w:gridSpan w:val="1"/>
            <w:vMerge w:val="continue"/>
            <w:tcBorders>
              <w:top w:color="000000" w:sz="4" w:val="single"/>
              <w:left w:color="000000" w:sz="4" w:val="single"/>
              <w:bottom w:color="000000" w:sz="4" w:val="single"/>
              <w:right w:color="000000" w:sz="4" w:val="single"/>
            </w:tcBorders>
            <w:tcMar>
              <w:top w:type="dxa" w:w="102"/>
              <w:left w:type="dxa" w:w="62"/>
              <w:bottom w:type="dxa" w:w="102"/>
              <w:right w:type="dxa" w:w="62"/>
            </w:tcMar>
          </w:tcPr>
          <w:p/>
        </w:tc>
        <w:tc>
          <w:tcPr>
            <w:tcW w:type="dxa" w:w="7657"/>
            <w:tcBorders>
              <w:top w:color="000000" w:sz="4" w:val="single"/>
              <w:left w:color="000000" w:sz="4" w:val="single"/>
              <w:bottom w:color="000000" w:sz="4" w:val="single"/>
              <w:right w:color="000000" w:sz="6" w:val="single"/>
            </w:tcBorders>
            <w:tcMar>
              <w:top w:type="dxa" w:w="102"/>
              <w:left w:type="dxa" w:w="62"/>
              <w:bottom w:type="dxa" w:w="102"/>
              <w:right w:type="dxa" w:w="62"/>
            </w:tcMar>
          </w:tcPr>
          <w:p w14:paraId="A0000000">
            <w:pPr>
              <w:ind/>
              <w:jc w:val="right"/>
              <w:rPr>
                <w:sz w:val="24"/>
              </w:rPr>
            </w:pPr>
            <w:r>
              <w:rPr>
                <w:sz w:val="24"/>
              </w:rPr>
              <w:t>местный бюджет (всего), из них:</w:t>
            </w:r>
          </w:p>
        </w:tc>
        <w:tc>
          <w:tcPr>
            <w:tcW w:type="dxa" w:w="1418"/>
            <w:tcBorders>
              <w:top w:color="000000" w:sz="6" w:val="single"/>
              <w:left w:color="000000" w:sz="6" w:val="single"/>
              <w:bottom w:color="000000" w:sz="6" w:val="single"/>
              <w:right w:color="000000" w:sz="6" w:val="single"/>
            </w:tcBorders>
            <w:tcMar>
              <w:top w:type="dxa" w:w="102"/>
              <w:left w:type="dxa" w:w="62"/>
              <w:bottom w:type="dxa" w:w="102"/>
              <w:right w:type="dxa" w:w="62"/>
            </w:tcMar>
            <w:vAlign w:val="center"/>
          </w:tcPr>
          <w:p w14:paraId="A1000000">
            <w:pPr>
              <w:ind/>
              <w:jc w:val="center"/>
              <w:rPr>
                <w:rFonts w:ascii="Times New Roman" w:hAnsi="Times New Roman"/>
                <w:color w:val="000000"/>
                <w:sz w:val="24"/>
              </w:rPr>
            </w:pPr>
            <w:r>
              <w:rPr>
                <w:rFonts w:ascii="Times New Roman" w:hAnsi="Times New Roman"/>
                <w:color w:val="000000"/>
                <w:sz w:val="24"/>
              </w:rPr>
              <w:t>38 355,5</w:t>
            </w:r>
          </w:p>
        </w:tc>
        <w:tc>
          <w:tcPr>
            <w:tcW w:type="dxa" w:w="1376"/>
            <w:tcBorders>
              <w:top w:color="000000" w:sz="6" w:val="single"/>
              <w:left w:color="000000" w:sz="6" w:val="single"/>
              <w:bottom w:color="000000" w:sz="6" w:val="single"/>
              <w:right w:color="000000" w:sz="6" w:val="single"/>
            </w:tcBorders>
            <w:tcMar>
              <w:top w:type="dxa" w:w="102"/>
              <w:left w:type="dxa" w:w="62"/>
              <w:bottom w:type="dxa" w:w="102"/>
              <w:right w:type="dxa" w:w="62"/>
            </w:tcMar>
            <w:vAlign w:val="center"/>
          </w:tcPr>
          <w:p w14:paraId="A2000000">
            <w:pPr>
              <w:ind/>
              <w:jc w:val="center"/>
              <w:rPr>
                <w:rFonts w:ascii="Times New Roman" w:hAnsi="Times New Roman"/>
                <w:color w:val="000000"/>
                <w:sz w:val="24"/>
              </w:rPr>
            </w:pPr>
            <w:r>
              <w:rPr>
                <w:rFonts w:ascii="Times New Roman" w:hAnsi="Times New Roman"/>
                <w:color w:val="000000"/>
                <w:sz w:val="24"/>
              </w:rPr>
              <w:t>19 525,8</w:t>
            </w:r>
          </w:p>
        </w:tc>
        <w:tc>
          <w:tcPr>
            <w:tcW w:type="dxa" w:w="1308"/>
            <w:tcBorders>
              <w:top w:color="000000" w:sz="6" w:val="single"/>
              <w:left w:color="000000" w:sz="6" w:val="single"/>
              <w:bottom w:color="000000" w:sz="6" w:val="single"/>
              <w:right w:color="000000" w:sz="6" w:val="single"/>
            </w:tcBorders>
            <w:tcMar>
              <w:top w:type="dxa" w:w="102"/>
              <w:left w:type="dxa" w:w="62"/>
              <w:bottom w:type="dxa" w:w="102"/>
              <w:right w:type="dxa" w:w="62"/>
            </w:tcMar>
            <w:vAlign w:val="center"/>
          </w:tcPr>
          <w:p w14:paraId="A3000000">
            <w:pPr>
              <w:ind/>
              <w:jc w:val="center"/>
              <w:rPr>
                <w:rFonts w:ascii="Times New Roman" w:hAnsi="Times New Roman"/>
                <w:color w:val="000000"/>
                <w:sz w:val="24"/>
              </w:rPr>
            </w:pPr>
            <w:r>
              <w:rPr>
                <w:rFonts w:ascii="Times New Roman" w:hAnsi="Times New Roman"/>
                <w:color w:val="000000"/>
                <w:sz w:val="24"/>
              </w:rPr>
              <w:t>10 498,8</w:t>
            </w:r>
          </w:p>
        </w:tc>
        <w:tc>
          <w:tcPr>
            <w:tcW w:type="dxa" w:w="1221"/>
            <w:tcBorders>
              <w:top w:color="000000" w:sz="6" w:val="single"/>
              <w:left w:color="000000" w:sz="6" w:val="single"/>
              <w:bottom w:color="000000" w:sz="6" w:val="single"/>
              <w:right w:color="000000" w:sz="6" w:val="single"/>
            </w:tcBorders>
            <w:tcMar>
              <w:top w:type="dxa" w:w="102"/>
              <w:left w:type="dxa" w:w="62"/>
              <w:bottom w:type="dxa" w:w="102"/>
              <w:right w:type="dxa" w:w="62"/>
            </w:tcMar>
            <w:vAlign w:val="center"/>
          </w:tcPr>
          <w:p w14:paraId="A4000000">
            <w:pPr>
              <w:ind/>
              <w:jc w:val="center"/>
              <w:rPr>
                <w:rFonts w:ascii="Times New Roman" w:hAnsi="Times New Roman"/>
                <w:color w:val="000000"/>
                <w:sz w:val="24"/>
              </w:rPr>
            </w:pPr>
            <w:r>
              <w:rPr>
                <w:rFonts w:ascii="Times New Roman" w:hAnsi="Times New Roman"/>
                <w:color w:val="000000"/>
                <w:sz w:val="24"/>
              </w:rPr>
              <w:t>10 789,3</w:t>
            </w:r>
          </w:p>
        </w:tc>
        <w:tc>
          <w:tcPr>
            <w:tcW w:type="dxa" w:w="1605"/>
            <w:tcBorders>
              <w:top w:color="000000" w:sz="6" w:val="single"/>
              <w:left w:color="000000" w:sz="6" w:val="single"/>
              <w:bottom w:color="000000" w:sz="6" w:val="single"/>
              <w:right w:color="000000" w:sz="6" w:val="single"/>
            </w:tcBorders>
            <w:tcMar>
              <w:top w:type="dxa" w:w="102"/>
              <w:left w:type="dxa" w:w="62"/>
              <w:bottom w:type="dxa" w:w="102"/>
              <w:right w:type="dxa" w:w="62"/>
            </w:tcMar>
            <w:vAlign w:val="center"/>
          </w:tcPr>
          <w:p w14:paraId="A5000000">
            <w:pPr>
              <w:ind/>
              <w:jc w:val="center"/>
              <w:rPr>
                <w:rFonts w:ascii="Times New Roman" w:hAnsi="Times New Roman"/>
                <w:color w:val="000000"/>
                <w:sz w:val="24"/>
              </w:rPr>
            </w:pPr>
            <w:r>
              <w:rPr>
                <w:rFonts w:ascii="Times New Roman" w:hAnsi="Times New Roman"/>
                <w:color w:val="000000"/>
                <w:sz w:val="24"/>
              </w:rPr>
              <w:t>79 169,4</w:t>
            </w:r>
          </w:p>
        </w:tc>
      </w:tr>
      <w:tr>
        <w:tc>
          <w:tcPr>
            <w:tcW w:type="dxa" w:w="567"/>
            <w:gridSpan w:val="1"/>
            <w:vMerge w:val="continue"/>
            <w:tcBorders>
              <w:top w:color="000000" w:sz="4" w:val="single"/>
              <w:left w:color="000000" w:sz="4" w:val="single"/>
              <w:bottom w:color="000000" w:sz="4" w:val="single"/>
              <w:right w:color="000000" w:sz="4" w:val="single"/>
            </w:tcBorders>
            <w:tcMar>
              <w:top w:type="dxa" w:w="102"/>
              <w:left w:type="dxa" w:w="62"/>
              <w:bottom w:type="dxa" w:w="102"/>
              <w:right w:type="dxa" w:w="62"/>
            </w:tcMar>
          </w:tcPr>
          <w:p/>
        </w:tc>
        <w:tc>
          <w:tcPr>
            <w:tcW w:type="dxa" w:w="7657"/>
            <w:tcBorders>
              <w:top w:color="000000" w:sz="4" w:val="single"/>
              <w:left w:color="000000" w:sz="4" w:val="single"/>
              <w:bottom w:color="000000" w:sz="4" w:val="single"/>
              <w:right w:color="000000" w:sz="6" w:val="single"/>
            </w:tcBorders>
            <w:tcMar>
              <w:top w:type="dxa" w:w="102"/>
              <w:left w:type="dxa" w:w="62"/>
              <w:bottom w:type="dxa" w:w="102"/>
              <w:right w:type="dxa" w:w="62"/>
            </w:tcMar>
          </w:tcPr>
          <w:p w14:paraId="A6000000">
            <w:pPr>
              <w:ind/>
              <w:jc w:val="right"/>
              <w:rPr>
                <w:sz w:val="24"/>
              </w:rPr>
            </w:pPr>
            <w:r>
              <w:rPr>
                <w:sz w:val="24"/>
              </w:rPr>
              <w:t>безвозмездные поступления в местный бюджет, в том числе за счет средств:</w:t>
            </w:r>
          </w:p>
        </w:tc>
        <w:tc>
          <w:tcPr>
            <w:tcW w:type="dxa" w:w="1418"/>
            <w:tcBorders>
              <w:top w:color="000000" w:sz="6" w:val="single"/>
              <w:left w:color="000000" w:sz="6" w:val="single"/>
              <w:bottom w:color="000000" w:sz="6" w:val="single"/>
              <w:right w:color="000000" w:sz="6" w:val="single"/>
            </w:tcBorders>
            <w:tcMar>
              <w:top w:type="dxa" w:w="102"/>
              <w:left w:type="dxa" w:w="62"/>
              <w:bottom w:type="dxa" w:w="102"/>
              <w:right w:type="dxa" w:w="62"/>
            </w:tcMar>
            <w:vAlign w:val="center"/>
          </w:tcPr>
          <w:p w14:paraId="A7000000">
            <w:pPr>
              <w:ind/>
              <w:jc w:val="center"/>
              <w:rPr>
                <w:rFonts w:ascii="Times New Roman" w:hAnsi="Times New Roman"/>
                <w:color w:val="000000"/>
                <w:sz w:val="24"/>
              </w:rPr>
            </w:pPr>
            <w:r>
              <w:rPr>
                <w:rFonts w:ascii="Times New Roman" w:hAnsi="Times New Roman"/>
                <w:color w:val="000000"/>
                <w:sz w:val="24"/>
              </w:rPr>
              <w:t>38 355,5</w:t>
            </w:r>
          </w:p>
        </w:tc>
        <w:tc>
          <w:tcPr>
            <w:tcW w:type="dxa" w:w="1376"/>
            <w:tcBorders>
              <w:top w:color="000000" w:sz="6" w:val="single"/>
              <w:left w:color="000000" w:sz="6" w:val="single"/>
              <w:bottom w:color="000000" w:sz="6" w:val="single"/>
              <w:right w:color="000000" w:sz="6" w:val="single"/>
            </w:tcBorders>
            <w:tcMar>
              <w:top w:type="dxa" w:w="102"/>
              <w:left w:type="dxa" w:w="62"/>
              <w:bottom w:type="dxa" w:w="102"/>
              <w:right w:type="dxa" w:w="62"/>
            </w:tcMar>
            <w:vAlign w:val="center"/>
          </w:tcPr>
          <w:p w14:paraId="A8000000">
            <w:pPr>
              <w:ind/>
              <w:jc w:val="center"/>
              <w:rPr>
                <w:rFonts w:ascii="Times New Roman" w:hAnsi="Times New Roman"/>
                <w:color w:val="000000"/>
                <w:sz w:val="24"/>
              </w:rPr>
            </w:pPr>
            <w:r>
              <w:rPr>
                <w:rFonts w:ascii="Times New Roman" w:hAnsi="Times New Roman"/>
                <w:color w:val="000000"/>
                <w:sz w:val="24"/>
              </w:rPr>
              <w:t xml:space="preserve"> 0,0</w:t>
            </w:r>
          </w:p>
        </w:tc>
        <w:tc>
          <w:tcPr>
            <w:tcW w:type="dxa" w:w="1308"/>
            <w:tcBorders>
              <w:top w:color="000000" w:sz="6" w:val="single"/>
              <w:left w:color="000000" w:sz="6" w:val="single"/>
              <w:bottom w:color="000000" w:sz="6" w:val="single"/>
              <w:right w:color="000000" w:sz="6" w:val="single"/>
            </w:tcBorders>
            <w:tcMar>
              <w:top w:type="dxa" w:w="102"/>
              <w:left w:type="dxa" w:w="62"/>
              <w:bottom w:type="dxa" w:w="102"/>
              <w:right w:type="dxa" w:w="62"/>
            </w:tcMar>
            <w:vAlign w:val="center"/>
          </w:tcPr>
          <w:p w14:paraId="A9000000">
            <w:pPr>
              <w:ind/>
              <w:jc w:val="center"/>
              <w:rPr>
                <w:rFonts w:ascii="Times New Roman" w:hAnsi="Times New Roman"/>
                <w:color w:val="000000"/>
                <w:sz w:val="24"/>
              </w:rPr>
            </w:pPr>
            <w:r>
              <w:rPr>
                <w:rFonts w:ascii="Times New Roman" w:hAnsi="Times New Roman"/>
                <w:color w:val="000000"/>
                <w:sz w:val="24"/>
              </w:rPr>
              <w:t>10 479,0</w:t>
            </w:r>
          </w:p>
        </w:tc>
        <w:tc>
          <w:tcPr>
            <w:tcW w:type="dxa" w:w="1221"/>
            <w:tcBorders>
              <w:top w:color="000000" w:sz="6" w:val="single"/>
              <w:left w:color="000000" w:sz="6" w:val="single"/>
              <w:bottom w:color="000000" w:sz="6" w:val="single"/>
              <w:right w:color="000000" w:sz="6" w:val="single"/>
            </w:tcBorders>
            <w:tcMar>
              <w:top w:type="dxa" w:w="102"/>
              <w:left w:type="dxa" w:w="62"/>
              <w:bottom w:type="dxa" w:w="102"/>
              <w:right w:type="dxa" w:w="62"/>
            </w:tcMar>
            <w:vAlign w:val="center"/>
          </w:tcPr>
          <w:p w14:paraId="AA000000">
            <w:pPr>
              <w:ind/>
              <w:jc w:val="center"/>
              <w:rPr>
                <w:rFonts w:ascii="Times New Roman" w:hAnsi="Times New Roman"/>
                <w:color w:val="000000"/>
                <w:sz w:val="24"/>
              </w:rPr>
            </w:pPr>
            <w:r>
              <w:rPr>
                <w:rFonts w:ascii="Times New Roman" w:hAnsi="Times New Roman"/>
                <w:color w:val="000000"/>
                <w:sz w:val="24"/>
              </w:rPr>
              <w:t>10 761,2</w:t>
            </w:r>
          </w:p>
        </w:tc>
        <w:tc>
          <w:tcPr>
            <w:tcW w:type="dxa" w:w="1605"/>
            <w:tcBorders>
              <w:top w:color="000000" w:sz="6" w:val="single"/>
              <w:left w:color="000000" w:sz="6" w:val="single"/>
              <w:bottom w:color="000000" w:sz="6" w:val="single"/>
              <w:right w:color="000000" w:sz="6" w:val="single"/>
            </w:tcBorders>
            <w:tcMar>
              <w:top w:type="dxa" w:w="102"/>
              <w:left w:type="dxa" w:w="62"/>
              <w:bottom w:type="dxa" w:w="102"/>
              <w:right w:type="dxa" w:w="62"/>
            </w:tcMar>
            <w:vAlign w:val="center"/>
          </w:tcPr>
          <w:p w14:paraId="AB000000">
            <w:pPr>
              <w:ind/>
              <w:jc w:val="center"/>
              <w:rPr>
                <w:rFonts w:ascii="Times New Roman" w:hAnsi="Times New Roman"/>
                <w:color w:val="000000"/>
                <w:sz w:val="24"/>
              </w:rPr>
            </w:pPr>
            <w:r>
              <w:rPr>
                <w:rFonts w:ascii="Times New Roman" w:hAnsi="Times New Roman"/>
                <w:color w:val="000000"/>
                <w:sz w:val="24"/>
              </w:rPr>
              <w:t>59 595,7</w:t>
            </w:r>
          </w:p>
        </w:tc>
      </w:tr>
      <w:tr>
        <w:tc>
          <w:tcPr>
            <w:tcW w:type="dxa" w:w="567"/>
            <w:gridSpan w:val="1"/>
            <w:vMerge w:val="continue"/>
            <w:tcBorders>
              <w:top w:color="000000" w:sz="4" w:val="single"/>
              <w:left w:color="000000" w:sz="4" w:val="single"/>
              <w:bottom w:color="000000" w:sz="4" w:val="single"/>
              <w:right w:color="000000" w:sz="4" w:val="single"/>
            </w:tcBorders>
            <w:tcMar>
              <w:top w:type="dxa" w:w="102"/>
              <w:left w:type="dxa" w:w="62"/>
              <w:bottom w:type="dxa" w:w="102"/>
              <w:right w:type="dxa" w:w="62"/>
            </w:tcMar>
          </w:tcPr>
          <w:p/>
        </w:tc>
        <w:tc>
          <w:tcPr>
            <w:tcW w:type="dxa" w:w="7657"/>
            <w:tcBorders>
              <w:top w:color="000000" w:sz="4" w:val="single"/>
              <w:left w:color="000000" w:sz="4" w:val="single"/>
              <w:bottom w:color="000000" w:sz="4" w:val="single"/>
              <w:right w:color="000000" w:sz="6" w:val="single"/>
            </w:tcBorders>
            <w:tcMar>
              <w:top w:type="dxa" w:w="102"/>
              <w:left w:type="dxa" w:w="62"/>
              <w:bottom w:type="dxa" w:w="102"/>
              <w:right w:type="dxa" w:w="62"/>
            </w:tcMar>
          </w:tcPr>
          <w:p w14:paraId="AC000000">
            <w:pPr>
              <w:ind/>
              <w:jc w:val="right"/>
              <w:rPr>
                <w:sz w:val="24"/>
              </w:rPr>
            </w:pPr>
            <w:r>
              <w:rPr>
                <w:sz w:val="24"/>
              </w:rPr>
              <w:t>федеральный бюджет</w:t>
            </w:r>
          </w:p>
        </w:tc>
        <w:tc>
          <w:tcPr>
            <w:tcW w:type="dxa" w:w="1418"/>
            <w:tcBorders>
              <w:top w:color="000000" w:sz="6" w:val="single"/>
              <w:left w:color="000000" w:sz="6" w:val="single"/>
              <w:bottom w:color="000000" w:sz="6" w:val="single"/>
              <w:right w:color="000000" w:sz="6" w:val="single"/>
            </w:tcBorders>
            <w:tcMar>
              <w:top w:type="dxa" w:w="102"/>
              <w:left w:type="dxa" w:w="62"/>
              <w:bottom w:type="dxa" w:w="102"/>
              <w:right w:type="dxa" w:w="62"/>
            </w:tcMar>
            <w:vAlign w:val="center"/>
          </w:tcPr>
          <w:p w14:paraId="AD000000">
            <w:pPr>
              <w:ind/>
              <w:jc w:val="center"/>
              <w:rPr>
                <w:rFonts w:ascii="Times New Roman" w:hAnsi="Times New Roman"/>
                <w:color w:val="000000"/>
                <w:sz w:val="24"/>
              </w:rPr>
            </w:pPr>
            <w:r>
              <w:rPr>
                <w:rFonts w:ascii="Times New Roman" w:hAnsi="Times New Roman"/>
                <w:color w:val="000000"/>
                <w:sz w:val="24"/>
              </w:rPr>
              <w:t xml:space="preserve"> 0,0</w:t>
            </w:r>
          </w:p>
        </w:tc>
        <w:tc>
          <w:tcPr>
            <w:tcW w:type="dxa" w:w="1376"/>
            <w:tcBorders>
              <w:top w:color="000000" w:sz="6" w:val="single"/>
              <w:left w:color="000000" w:sz="6" w:val="single"/>
              <w:bottom w:color="000000" w:sz="6" w:val="single"/>
              <w:right w:color="000000" w:sz="6" w:val="single"/>
            </w:tcBorders>
            <w:tcMar>
              <w:top w:type="dxa" w:w="102"/>
              <w:left w:type="dxa" w:w="62"/>
              <w:bottom w:type="dxa" w:w="102"/>
              <w:right w:type="dxa" w:w="62"/>
            </w:tcMar>
            <w:vAlign w:val="center"/>
          </w:tcPr>
          <w:p w14:paraId="AE000000">
            <w:pPr>
              <w:ind/>
              <w:jc w:val="center"/>
              <w:rPr>
                <w:rFonts w:ascii="Times New Roman" w:hAnsi="Times New Roman"/>
                <w:color w:val="000000"/>
                <w:sz w:val="24"/>
              </w:rPr>
            </w:pPr>
            <w:r>
              <w:rPr>
                <w:rFonts w:ascii="Times New Roman" w:hAnsi="Times New Roman"/>
                <w:color w:val="000000"/>
                <w:sz w:val="24"/>
              </w:rPr>
              <w:t xml:space="preserve"> 0,0</w:t>
            </w:r>
          </w:p>
        </w:tc>
        <w:tc>
          <w:tcPr>
            <w:tcW w:type="dxa" w:w="1308"/>
            <w:tcBorders>
              <w:top w:color="000000" w:sz="6" w:val="single"/>
              <w:left w:color="000000" w:sz="6" w:val="single"/>
              <w:bottom w:color="000000" w:sz="6" w:val="single"/>
              <w:right w:color="000000" w:sz="6" w:val="single"/>
            </w:tcBorders>
            <w:tcMar>
              <w:top w:type="dxa" w:w="102"/>
              <w:left w:type="dxa" w:w="62"/>
              <w:bottom w:type="dxa" w:w="102"/>
              <w:right w:type="dxa" w:w="62"/>
            </w:tcMar>
            <w:vAlign w:val="center"/>
          </w:tcPr>
          <w:p w14:paraId="AF000000">
            <w:pPr>
              <w:ind/>
              <w:jc w:val="center"/>
              <w:rPr>
                <w:rFonts w:ascii="Times New Roman" w:hAnsi="Times New Roman"/>
                <w:color w:val="000000"/>
                <w:sz w:val="24"/>
              </w:rPr>
            </w:pPr>
            <w:r>
              <w:rPr>
                <w:rFonts w:ascii="Times New Roman" w:hAnsi="Times New Roman"/>
                <w:color w:val="000000"/>
                <w:sz w:val="24"/>
              </w:rPr>
              <w:t>10 164,6</w:t>
            </w:r>
          </w:p>
        </w:tc>
        <w:tc>
          <w:tcPr>
            <w:tcW w:type="dxa" w:w="1221"/>
            <w:tcBorders>
              <w:top w:color="000000" w:sz="6" w:val="single"/>
              <w:left w:color="000000" w:sz="6" w:val="single"/>
              <w:bottom w:color="000000" w:sz="6" w:val="single"/>
              <w:right w:color="000000" w:sz="6" w:val="single"/>
            </w:tcBorders>
            <w:tcMar>
              <w:top w:type="dxa" w:w="102"/>
              <w:left w:type="dxa" w:w="62"/>
              <w:bottom w:type="dxa" w:w="102"/>
              <w:right w:type="dxa" w:w="62"/>
            </w:tcMar>
            <w:vAlign w:val="center"/>
          </w:tcPr>
          <w:p w14:paraId="B0000000">
            <w:pPr>
              <w:ind/>
              <w:jc w:val="center"/>
              <w:rPr>
                <w:rFonts w:ascii="Times New Roman" w:hAnsi="Times New Roman"/>
                <w:color w:val="000000"/>
                <w:sz w:val="24"/>
              </w:rPr>
            </w:pPr>
            <w:r>
              <w:rPr>
                <w:rFonts w:ascii="Times New Roman" w:hAnsi="Times New Roman"/>
                <w:color w:val="000000"/>
                <w:sz w:val="24"/>
              </w:rPr>
              <w:t>10 438,3</w:t>
            </w:r>
          </w:p>
        </w:tc>
        <w:tc>
          <w:tcPr>
            <w:tcW w:type="dxa" w:w="1605"/>
            <w:tcBorders>
              <w:top w:color="000000" w:sz="6" w:val="single"/>
              <w:left w:color="000000" w:sz="6" w:val="single"/>
              <w:bottom w:color="000000" w:sz="6" w:val="single"/>
              <w:right w:color="000000" w:sz="6" w:val="single"/>
            </w:tcBorders>
            <w:tcMar>
              <w:top w:type="dxa" w:w="102"/>
              <w:left w:type="dxa" w:w="62"/>
              <w:bottom w:type="dxa" w:w="102"/>
              <w:right w:type="dxa" w:w="62"/>
            </w:tcMar>
            <w:vAlign w:val="center"/>
          </w:tcPr>
          <w:p w14:paraId="B1000000">
            <w:pPr>
              <w:ind/>
              <w:jc w:val="center"/>
              <w:rPr>
                <w:rFonts w:ascii="Times New Roman" w:hAnsi="Times New Roman"/>
                <w:color w:val="000000"/>
                <w:sz w:val="24"/>
              </w:rPr>
            </w:pPr>
            <w:r>
              <w:rPr>
                <w:rFonts w:ascii="Times New Roman" w:hAnsi="Times New Roman"/>
                <w:color w:val="000000"/>
                <w:sz w:val="24"/>
              </w:rPr>
              <w:t>20 602,9</w:t>
            </w:r>
          </w:p>
        </w:tc>
      </w:tr>
      <w:tr>
        <w:tc>
          <w:tcPr>
            <w:tcW w:type="dxa" w:w="567"/>
            <w:gridSpan w:val="1"/>
            <w:vMerge w:val="continue"/>
            <w:tcBorders>
              <w:top w:color="000000" w:sz="4" w:val="single"/>
              <w:left w:color="000000" w:sz="4" w:val="single"/>
              <w:bottom w:color="000000" w:sz="4" w:val="single"/>
              <w:right w:color="000000" w:sz="4" w:val="single"/>
            </w:tcBorders>
            <w:tcMar>
              <w:top w:type="dxa" w:w="102"/>
              <w:left w:type="dxa" w:w="62"/>
              <w:bottom w:type="dxa" w:w="102"/>
              <w:right w:type="dxa" w:w="62"/>
            </w:tcMar>
          </w:tcPr>
          <w:p/>
        </w:tc>
        <w:tc>
          <w:tcPr>
            <w:tcW w:type="dxa" w:w="7657"/>
            <w:tcBorders>
              <w:top w:color="000000" w:sz="4" w:val="single"/>
              <w:left w:color="000000" w:sz="4" w:val="single"/>
              <w:bottom w:color="000000" w:sz="4" w:val="single"/>
              <w:right w:color="000000" w:sz="6" w:val="single"/>
            </w:tcBorders>
            <w:tcMar>
              <w:top w:type="dxa" w:w="102"/>
              <w:left w:type="dxa" w:w="62"/>
              <w:bottom w:type="dxa" w:w="102"/>
              <w:right w:type="dxa" w:w="62"/>
            </w:tcMar>
          </w:tcPr>
          <w:p w14:paraId="B2000000">
            <w:pPr>
              <w:ind/>
              <w:jc w:val="right"/>
              <w:rPr>
                <w:sz w:val="24"/>
                <w:highlight w:val="yellow"/>
              </w:rPr>
            </w:pPr>
            <w:r>
              <w:rPr>
                <w:sz w:val="24"/>
              </w:rPr>
              <w:t>областной бюджет</w:t>
            </w:r>
          </w:p>
        </w:tc>
        <w:tc>
          <w:tcPr>
            <w:tcW w:type="dxa" w:w="1418"/>
            <w:tcBorders>
              <w:top w:color="000000" w:sz="6" w:val="single"/>
              <w:left w:color="000000" w:sz="6" w:val="single"/>
              <w:bottom w:color="000000" w:sz="6" w:val="single"/>
              <w:right w:color="000000" w:sz="6" w:val="single"/>
            </w:tcBorders>
            <w:tcMar>
              <w:top w:type="dxa" w:w="102"/>
              <w:left w:type="dxa" w:w="62"/>
              <w:bottom w:type="dxa" w:w="102"/>
              <w:right w:type="dxa" w:w="62"/>
            </w:tcMar>
            <w:vAlign w:val="center"/>
          </w:tcPr>
          <w:p w14:paraId="B3000000">
            <w:pPr>
              <w:ind/>
              <w:jc w:val="center"/>
              <w:rPr>
                <w:rFonts w:ascii="Times New Roman" w:hAnsi="Times New Roman"/>
                <w:color w:val="000000"/>
                <w:sz w:val="24"/>
              </w:rPr>
            </w:pPr>
            <w:r>
              <w:rPr>
                <w:rFonts w:ascii="Times New Roman" w:hAnsi="Times New Roman"/>
                <w:color w:val="000000"/>
                <w:sz w:val="24"/>
              </w:rPr>
              <w:t>38 355,5</w:t>
            </w:r>
          </w:p>
        </w:tc>
        <w:tc>
          <w:tcPr>
            <w:tcW w:type="dxa" w:w="1376"/>
            <w:tcBorders>
              <w:top w:color="000000" w:sz="6" w:val="single"/>
              <w:left w:color="000000" w:sz="6" w:val="single"/>
              <w:bottom w:color="000000" w:sz="6" w:val="single"/>
              <w:right w:color="000000" w:sz="6" w:val="single"/>
            </w:tcBorders>
            <w:tcMar>
              <w:top w:type="dxa" w:w="102"/>
              <w:left w:type="dxa" w:w="62"/>
              <w:bottom w:type="dxa" w:w="102"/>
              <w:right w:type="dxa" w:w="62"/>
            </w:tcMar>
            <w:vAlign w:val="center"/>
          </w:tcPr>
          <w:p w14:paraId="B4000000">
            <w:pPr>
              <w:ind/>
              <w:jc w:val="center"/>
              <w:rPr>
                <w:rFonts w:ascii="Times New Roman" w:hAnsi="Times New Roman"/>
                <w:color w:val="000000"/>
                <w:sz w:val="24"/>
              </w:rPr>
            </w:pPr>
            <w:r>
              <w:rPr>
                <w:rFonts w:ascii="Times New Roman" w:hAnsi="Times New Roman"/>
                <w:color w:val="000000"/>
                <w:sz w:val="24"/>
              </w:rPr>
              <w:t xml:space="preserve"> 0,0</w:t>
            </w:r>
          </w:p>
        </w:tc>
        <w:tc>
          <w:tcPr>
            <w:tcW w:type="dxa" w:w="1308"/>
            <w:tcBorders>
              <w:top w:color="000000" w:sz="6" w:val="single"/>
              <w:left w:color="000000" w:sz="6" w:val="single"/>
              <w:bottom w:color="000000" w:sz="6" w:val="single"/>
              <w:right w:color="000000" w:sz="6" w:val="single"/>
            </w:tcBorders>
            <w:tcMar>
              <w:top w:type="dxa" w:w="102"/>
              <w:left w:type="dxa" w:w="62"/>
              <w:bottom w:type="dxa" w:w="102"/>
              <w:right w:type="dxa" w:w="62"/>
            </w:tcMar>
            <w:vAlign w:val="center"/>
          </w:tcPr>
          <w:p w14:paraId="B5000000">
            <w:pPr>
              <w:ind/>
              <w:jc w:val="center"/>
              <w:rPr>
                <w:rFonts w:ascii="Times New Roman" w:hAnsi="Times New Roman"/>
                <w:color w:val="000000"/>
                <w:sz w:val="24"/>
              </w:rPr>
            </w:pPr>
            <w:r>
              <w:rPr>
                <w:rFonts w:ascii="Times New Roman" w:hAnsi="Times New Roman"/>
                <w:color w:val="000000"/>
                <w:sz w:val="24"/>
              </w:rPr>
              <w:t xml:space="preserve"> 314,4</w:t>
            </w:r>
          </w:p>
        </w:tc>
        <w:tc>
          <w:tcPr>
            <w:tcW w:type="dxa" w:w="1221"/>
            <w:tcBorders>
              <w:top w:color="000000" w:sz="6" w:val="single"/>
              <w:left w:color="000000" w:sz="6" w:val="single"/>
              <w:bottom w:color="000000" w:sz="6" w:val="single"/>
              <w:right w:color="000000" w:sz="6" w:val="single"/>
            </w:tcBorders>
            <w:tcMar>
              <w:top w:type="dxa" w:w="102"/>
              <w:left w:type="dxa" w:w="62"/>
              <w:bottom w:type="dxa" w:w="102"/>
              <w:right w:type="dxa" w:w="62"/>
            </w:tcMar>
            <w:vAlign w:val="center"/>
          </w:tcPr>
          <w:p w14:paraId="B6000000">
            <w:pPr>
              <w:ind/>
              <w:jc w:val="center"/>
              <w:rPr>
                <w:rFonts w:ascii="Times New Roman" w:hAnsi="Times New Roman"/>
                <w:color w:val="000000"/>
                <w:sz w:val="24"/>
              </w:rPr>
            </w:pPr>
            <w:r>
              <w:rPr>
                <w:rFonts w:ascii="Times New Roman" w:hAnsi="Times New Roman"/>
                <w:color w:val="000000"/>
                <w:sz w:val="24"/>
              </w:rPr>
              <w:t xml:space="preserve"> 322,9</w:t>
            </w:r>
          </w:p>
        </w:tc>
        <w:tc>
          <w:tcPr>
            <w:tcW w:type="dxa" w:w="1605"/>
            <w:tcBorders>
              <w:top w:color="000000" w:sz="6" w:val="single"/>
              <w:left w:color="000000" w:sz="6" w:val="single"/>
              <w:bottom w:color="000000" w:sz="6" w:val="single"/>
              <w:right w:color="000000" w:sz="6" w:val="single"/>
            </w:tcBorders>
            <w:tcMar>
              <w:top w:type="dxa" w:w="102"/>
              <w:left w:type="dxa" w:w="62"/>
              <w:bottom w:type="dxa" w:w="102"/>
              <w:right w:type="dxa" w:w="62"/>
            </w:tcMar>
            <w:vAlign w:val="center"/>
          </w:tcPr>
          <w:p w14:paraId="B7000000">
            <w:pPr>
              <w:ind/>
              <w:jc w:val="center"/>
              <w:rPr>
                <w:rFonts w:ascii="Times New Roman" w:hAnsi="Times New Roman"/>
                <w:color w:val="000000"/>
                <w:sz w:val="24"/>
              </w:rPr>
            </w:pPr>
            <w:r>
              <w:rPr>
                <w:rFonts w:ascii="Times New Roman" w:hAnsi="Times New Roman"/>
                <w:color w:val="000000"/>
                <w:sz w:val="24"/>
              </w:rPr>
              <w:t>38 992,8</w:t>
            </w:r>
          </w:p>
        </w:tc>
      </w:tr>
      <w:tr>
        <w:tc>
          <w:tcPr>
            <w:tcW w:type="dxa" w:w="567"/>
            <w:gridSpan w:val="1"/>
            <w:vMerge w:val="continue"/>
            <w:tcBorders>
              <w:top w:color="000000" w:sz="4" w:val="single"/>
              <w:left w:color="000000" w:sz="4" w:val="single"/>
              <w:bottom w:color="000000" w:sz="4" w:val="single"/>
              <w:right w:color="000000" w:sz="4" w:val="single"/>
            </w:tcBorders>
            <w:tcMar>
              <w:top w:type="dxa" w:w="102"/>
              <w:left w:type="dxa" w:w="62"/>
              <w:bottom w:type="dxa" w:w="102"/>
              <w:right w:type="dxa" w:w="62"/>
            </w:tcMar>
          </w:tcPr>
          <w:p/>
        </w:tc>
        <w:tc>
          <w:tcPr>
            <w:tcW w:type="dxa" w:w="7657"/>
            <w:tcBorders>
              <w:top w:color="000000" w:sz="4" w:val="single"/>
              <w:left w:color="000000" w:sz="4" w:val="single"/>
              <w:bottom w:color="000000" w:sz="4" w:val="single"/>
              <w:right w:color="000000" w:sz="6" w:val="single"/>
            </w:tcBorders>
            <w:tcMar>
              <w:top w:type="dxa" w:w="102"/>
              <w:left w:type="dxa" w:w="62"/>
              <w:bottom w:type="dxa" w:w="102"/>
              <w:right w:type="dxa" w:w="62"/>
            </w:tcMar>
          </w:tcPr>
          <w:p w14:paraId="B8000000">
            <w:pPr>
              <w:ind/>
              <w:jc w:val="right"/>
              <w:rPr>
                <w:sz w:val="24"/>
              </w:rPr>
            </w:pPr>
            <w:r>
              <w:rPr>
                <w:sz w:val="24"/>
              </w:rPr>
              <w:t>местный бюджет</w:t>
            </w:r>
          </w:p>
        </w:tc>
        <w:tc>
          <w:tcPr>
            <w:tcW w:type="dxa" w:w="1418"/>
            <w:tcBorders>
              <w:top w:color="000000" w:sz="6" w:val="single"/>
              <w:left w:color="000000" w:sz="6" w:val="single"/>
              <w:bottom w:color="000000" w:sz="6" w:val="single"/>
              <w:right w:color="000000" w:sz="6" w:val="single"/>
            </w:tcBorders>
            <w:tcMar>
              <w:top w:type="dxa" w:w="102"/>
              <w:left w:type="dxa" w:w="62"/>
              <w:bottom w:type="dxa" w:w="102"/>
              <w:right w:type="dxa" w:w="62"/>
            </w:tcMar>
            <w:vAlign w:val="center"/>
          </w:tcPr>
          <w:p w14:paraId="B9000000">
            <w:pPr>
              <w:ind/>
              <w:jc w:val="center"/>
              <w:rPr>
                <w:rFonts w:ascii="Times New Roman" w:hAnsi="Times New Roman"/>
                <w:color w:val="000000"/>
                <w:sz w:val="24"/>
              </w:rPr>
            </w:pPr>
            <w:r>
              <w:rPr>
                <w:rFonts w:ascii="Times New Roman" w:hAnsi="Times New Roman"/>
                <w:color w:val="000000"/>
                <w:sz w:val="24"/>
              </w:rPr>
              <w:t xml:space="preserve"> 0,0</w:t>
            </w:r>
          </w:p>
        </w:tc>
        <w:tc>
          <w:tcPr>
            <w:tcW w:type="dxa" w:w="1376"/>
            <w:tcBorders>
              <w:top w:color="000000" w:sz="6" w:val="single"/>
              <w:left w:color="000000" w:sz="6" w:val="single"/>
              <w:bottom w:color="000000" w:sz="6" w:val="single"/>
              <w:right w:color="000000" w:sz="6" w:val="single"/>
            </w:tcBorders>
            <w:tcMar>
              <w:top w:type="dxa" w:w="102"/>
              <w:left w:type="dxa" w:w="62"/>
              <w:bottom w:type="dxa" w:w="102"/>
              <w:right w:type="dxa" w:w="62"/>
            </w:tcMar>
            <w:vAlign w:val="center"/>
          </w:tcPr>
          <w:p w14:paraId="BA000000">
            <w:pPr>
              <w:ind/>
              <w:jc w:val="center"/>
              <w:rPr>
                <w:rFonts w:ascii="Times New Roman" w:hAnsi="Times New Roman"/>
                <w:color w:val="000000"/>
                <w:sz w:val="24"/>
              </w:rPr>
            </w:pPr>
            <w:r>
              <w:rPr>
                <w:rFonts w:ascii="Times New Roman" w:hAnsi="Times New Roman"/>
                <w:color w:val="000000"/>
                <w:sz w:val="24"/>
              </w:rPr>
              <w:t>19 525,8</w:t>
            </w:r>
          </w:p>
        </w:tc>
        <w:tc>
          <w:tcPr>
            <w:tcW w:type="dxa" w:w="1308"/>
            <w:tcBorders>
              <w:top w:color="000000" w:sz="6" w:val="single"/>
              <w:left w:color="000000" w:sz="6" w:val="single"/>
              <w:bottom w:color="000000" w:sz="6" w:val="single"/>
              <w:right w:color="000000" w:sz="6" w:val="single"/>
            </w:tcBorders>
            <w:tcMar>
              <w:top w:type="dxa" w:w="102"/>
              <w:left w:type="dxa" w:w="62"/>
              <w:bottom w:type="dxa" w:w="102"/>
              <w:right w:type="dxa" w:w="62"/>
            </w:tcMar>
            <w:vAlign w:val="center"/>
          </w:tcPr>
          <w:p w14:paraId="BB000000">
            <w:pPr>
              <w:ind/>
              <w:jc w:val="center"/>
              <w:rPr>
                <w:rFonts w:ascii="Times New Roman" w:hAnsi="Times New Roman"/>
                <w:color w:val="000000"/>
                <w:sz w:val="24"/>
              </w:rPr>
            </w:pPr>
            <w:r>
              <w:rPr>
                <w:rFonts w:ascii="Times New Roman" w:hAnsi="Times New Roman"/>
                <w:color w:val="000000"/>
                <w:sz w:val="24"/>
              </w:rPr>
              <w:t xml:space="preserve"> 19,8</w:t>
            </w:r>
          </w:p>
        </w:tc>
        <w:tc>
          <w:tcPr>
            <w:tcW w:type="dxa" w:w="1221"/>
            <w:tcBorders>
              <w:top w:color="000000" w:sz="6" w:val="single"/>
              <w:left w:color="000000" w:sz="6" w:val="single"/>
              <w:bottom w:color="000000" w:sz="6" w:val="single"/>
              <w:right w:color="000000" w:sz="6" w:val="single"/>
            </w:tcBorders>
            <w:tcMar>
              <w:top w:type="dxa" w:w="102"/>
              <w:left w:type="dxa" w:w="62"/>
              <w:bottom w:type="dxa" w:w="102"/>
              <w:right w:type="dxa" w:w="62"/>
            </w:tcMar>
            <w:vAlign w:val="center"/>
          </w:tcPr>
          <w:p w14:paraId="BC000000">
            <w:pPr>
              <w:ind/>
              <w:jc w:val="center"/>
              <w:rPr>
                <w:rFonts w:ascii="Times New Roman" w:hAnsi="Times New Roman"/>
                <w:color w:val="000000"/>
                <w:sz w:val="24"/>
              </w:rPr>
            </w:pPr>
            <w:r>
              <w:rPr>
                <w:rFonts w:ascii="Times New Roman" w:hAnsi="Times New Roman"/>
                <w:color w:val="000000"/>
                <w:sz w:val="24"/>
              </w:rPr>
              <w:t xml:space="preserve"> 28,1</w:t>
            </w:r>
          </w:p>
        </w:tc>
        <w:tc>
          <w:tcPr>
            <w:tcW w:type="dxa" w:w="1605"/>
            <w:tcBorders>
              <w:top w:color="000000" w:sz="6" w:val="single"/>
              <w:left w:color="000000" w:sz="6" w:val="single"/>
              <w:bottom w:color="000000" w:sz="6" w:val="single"/>
              <w:right w:color="000000" w:sz="6" w:val="single"/>
            </w:tcBorders>
            <w:tcMar>
              <w:top w:type="dxa" w:w="102"/>
              <w:left w:type="dxa" w:w="62"/>
              <w:bottom w:type="dxa" w:w="102"/>
              <w:right w:type="dxa" w:w="62"/>
            </w:tcMar>
            <w:vAlign w:val="center"/>
          </w:tcPr>
          <w:p w14:paraId="BD000000">
            <w:pPr>
              <w:ind/>
              <w:jc w:val="center"/>
              <w:rPr>
                <w:rFonts w:ascii="Times New Roman" w:hAnsi="Times New Roman"/>
                <w:color w:val="000000"/>
                <w:sz w:val="24"/>
              </w:rPr>
            </w:pPr>
            <w:r>
              <w:rPr>
                <w:rFonts w:ascii="Times New Roman" w:hAnsi="Times New Roman"/>
                <w:color w:val="000000"/>
                <w:sz w:val="24"/>
              </w:rPr>
              <w:t>19 573,7</w:t>
            </w:r>
          </w:p>
        </w:tc>
      </w:tr>
      <w:tr>
        <w:tc>
          <w:tcPr>
            <w:tcW w:type="dxa" w:w="567"/>
            <w:gridSpan w:val="1"/>
            <w:vMerge w:val="continue"/>
            <w:tcBorders>
              <w:top w:color="000000" w:sz="4" w:val="single"/>
              <w:left w:color="000000" w:sz="4" w:val="single"/>
              <w:bottom w:color="000000" w:sz="4" w:val="single"/>
              <w:right w:color="000000" w:sz="4" w:val="single"/>
            </w:tcBorders>
            <w:tcMar>
              <w:top w:type="dxa" w:w="102"/>
              <w:left w:type="dxa" w:w="62"/>
              <w:bottom w:type="dxa" w:w="102"/>
              <w:right w:type="dxa" w:w="62"/>
            </w:tcMar>
          </w:tcPr>
          <w:p/>
        </w:tc>
        <w:tc>
          <w:tcPr>
            <w:tcW w:type="dxa" w:w="7657"/>
            <w:tcBorders>
              <w:top w:color="000000" w:sz="4" w:val="single"/>
              <w:left w:color="000000" w:sz="4" w:val="single"/>
              <w:bottom w:color="000000" w:sz="4" w:val="single"/>
              <w:right w:color="000000" w:sz="6" w:val="single"/>
            </w:tcBorders>
            <w:tcMar>
              <w:top w:type="dxa" w:w="102"/>
              <w:left w:type="dxa" w:w="62"/>
              <w:bottom w:type="dxa" w:w="102"/>
              <w:right w:type="dxa" w:w="62"/>
            </w:tcMar>
          </w:tcPr>
          <w:p w14:paraId="BE000000">
            <w:pPr>
              <w:ind/>
              <w:jc w:val="right"/>
              <w:rPr>
                <w:sz w:val="24"/>
              </w:rPr>
            </w:pPr>
            <w:r>
              <w:rPr>
                <w:sz w:val="24"/>
              </w:rPr>
              <w:t>консолидированные бюджеты поселений (</w:t>
            </w:r>
            <w:r>
              <w:rPr>
                <w:sz w:val="24"/>
              </w:rPr>
              <w:t>справочно</w:t>
            </w:r>
            <w:r>
              <w:rPr>
                <w:sz w:val="24"/>
              </w:rPr>
              <w:t>)</w:t>
            </w:r>
          </w:p>
        </w:tc>
        <w:tc>
          <w:tcPr>
            <w:tcW w:type="dxa" w:w="1418"/>
            <w:tcBorders>
              <w:top w:color="000000" w:sz="6" w:val="single"/>
              <w:left w:color="000000" w:sz="6" w:val="single"/>
              <w:bottom w:color="000000" w:sz="6" w:val="single"/>
              <w:right w:color="000000" w:sz="6" w:val="single"/>
            </w:tcBorders>
            <w:tcMar>
              <w:top w:type="dxa" w:w="102"/>
              <w:left w:type="dxa" w:w="62"/>
              <w:bottom w:type="dxa" w:w="102"/>
              <w:right w:type="dxa" w:w="62"/>
            </w:tcMar>
            <w:vAlign w:val="center"/>
          </w:tcPr>
          <w:p w14:paraId="BF000000">
            <w:pPr>
              <w:ind/>
              <w:jc w:val="center"/>
              <w:rPr>
                <w:rFonts w:ascii="Times New Roman" w:hAnsi="Times New Roman"/>
                <w:color w:val="000000"/>
                <w:sz w:val="24"/>
              </w:rPr>
            </w:pPr>
            <w:r>
              <w:rPr>
                <w:rFonts w:ascii="Times New Roman" w:hAnsi="Times New Roman"/>
                <w:color w:val="000000"/>
                <w:sz w:val="24"/>
              </w:rPr>
              <w:t>2 103,9</w:t>
            </w:r>
          </w:p>
        </w:tc>
        <w:tc>
          <w:tcPr>
            <w:tcW w:type="dxa" w:w="1376"/>
            <w:tcBorders>
              <w:top w:color="000000" w:sz="6" w:val="single"/>
              <w:left w:color="000000" w:sz="6" w:val="single"/>
              <w:bottom w:color="000000" w:sz="6" w:val="single"/>
              <w:right w:color="000000" w:sz="6" w:val="single"/>
            </w:tcBorders>
            <w:tcMar>
              <w:top w:type="dxa" w:w="102"/>
              <w:left w:type="dxa" w:w="62"/>
              <w:bottom w:type="dxa" w:w="102"/>
              <w:right w:type="dxa" w:w="62"/>
            </w:tcMar>
            <w:vAlign w:val="center"/>
          </w:tcPr>
          <w:p w14:paraId="C0000000">
            <w:pPr>
              <w:ind/>
              <w:jc w:val="center"/>
              <w:rPr>
                <w:rFonts w:ascii="Times New Roman" w:hAnsi="Times New Roman"/>
                <w:color w:val="000000"/>
                <w:sz w:val="24"/>
              </w:rPr>
            </w:pPr>
            <w:r>
              <w:rPr>
                <w:rFonts w:ascii="Times New Roman" w:hAnsi="Times New Roman"/>
                <w:color w:val="000000"/>
                <w:sz w:val="24"/>
              </w:rPr>
              <w:t xml:space="preserve"> 0,0</w:t>
            </w:r>
          </w:p>
        </w:tc>
        <w:tc>
          <w:tcPr>
            <w:tcW w:type="dxa" w:w="1308"/>
            <w:tcBorders>
              <w:top w:color="000000" w:sz="6" w:val="single"/>
              <w:left w:color="000000" w:sz="6" w:val="single"/>
              <w:bottom w:color="000000" w:sz="6" w:val="single"/>
              <w:right w:color="000000" w:sz="6" w:val="single"/>
            </w:tcBorders>
            <w:tcMar>
              <w:top w:type="dxa" w:w="102"/>
              <w:left w:type="dxa" w:w="62"/>
              <w:bottom w:type="dxa" w:w="102"/>
              <w:right w:type="dxa" w:w="62"/>
            </w:tcMar>
            <w:vAlign w:val="center"/>
          </w:tcPr>
          <w:p w14:paraId="C1000000">
            <w:pPr>
              <w:ind/>
              <w:jc w:val="center"/>
              <w:rPr>
                <w:rFonts w:ascii="Times New Roman" w:hAnsi="Times New Roman"/>
                <w:color w:val="000000"/>
                <w:sz w:val="24"/>
              </w:rPr>
            </w:pPr>
            <w:r>
              <w:rPr>
                <w:rFonts w:ascii="Times New Roman" w:hAnsi="Times New Roman"/>
                <w:color w:val="000000"/>
                <w:sz w:val="24"/>
              </w:rPr>
              <w:t>0,0</w:t>
            </w:r>
          </w:p>
        </w:tc>
        <w:tc>
          <w:tcPr>
            <w:tcW w:type="dxa" w:w="1221"/>
            <w:tcBorders>
              <w:top w:color="000000" w:sz="6" w:val="single"/>
              <w:left w:color="000000" w:sz="6" w:val="single"/>
              <w:bottom w:color="000000" w:sz="6" w:val="single"/>
              <w:right w:color="000000" w:sz="6" w:val="single"/>
            </w:tcBorders>
            <w:tcMar>
              <w:top w:type="dxa" w:w="102"/>
              <w:left w:type="dxa" w:w="62"/>
              <w:bottom w:type="dxa" w:w="102"/>
              <w:right w:type="dxa" w:w="62"/>
            </w:tcMar>
            <w:vAlign w:val="center"/>
          </w:tcPr>
          <w:p w14:paraId="C2000000">
            <w:pPr>
              <w:ind/>
              <w:jc w:val="center"/>
              <w:rPr>
                <w:rFonts w:ascii="Times New Roman" w:hAnsi="Times New Roman"/>
                <w:color w:val="000000"/>
                <w:sz w:val="24"/>
              </w:rPr>
            </w:pPr>
            <w:r>
              <w:rPr>
                <w:rFonts w:ascii="Times New Roman" w:hAnsi="Times New Roman"/>
                <w:color w:val="000000"/>
                <w:sz w:val="24"/>
              </w:rPr>
              <w:t xml:space="preserve"> 0,0</w:t>
            </w:r>
          </w:p>
        </w:tc>
        <w:tc>
          <w:tcPr>
            <w:tcW w:type="dxa" w:w="1605"/>
            <w:tcBorders>
              <w:top w:color="000000" w:sz="6" w:val="single"/>
              <w:left w:color="000000" w:sz="6" w:val="single"/>
              <w:bottom w:color="000000" w:sz="6" w:val="single"/>
              <w:right w:color="000000" w:sz="6" w:val="single"/>
            </w:tcBorders>
            <w:tcMar>
              <w:top w:type="dxa" w:w="102"/>
              <w:left w:type="dxa" w:w="62"/>
              <w:bottom w:type="dxa" w:w="102"/>
              <w:right w:type="dxa" w:w="62"/>
            </w:tcMar>
            <w:vAlign w:val="center"/>
          </w:tcPr>
          <w:p w14:paraId="C3000000">
            <w:pPr>
              <w:ind/>
              <w:jc w:val="center"/>
              <w:rPr>
                <w:rFonts w:ascii="Times New Roman" w:hAnsi="Times New Roman"/>
                <w:color w:val="000000"/>
                <w:sz w:val="24"/>
              </w:rPr>
            </w:pPr>
            <w:r>
              <w:rPr>
                <w:rFonts w:ascii="Times New Roman" w:hAnsi="Times New Roman"/>
                <w:color w:val="000000"/>
                <w:sz w:val="24"/>
              </w:rPr>
              <w:t>2 103,9</w:t>
            </w:r>
          </w:p>
        </w:tc>
      </w:tr>
      <w:tr>
        <w:trPr>
          <w:trHeight w:hRule="atLeast" w:val="976"/>
        </w:trPr>
        <w:tc>
          <w:tcPr>
            <w:tcW w:type="dxa" w:w="56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C4000000">
            <w:pPr>
              <w:rPr>
                <w:sz w:val="24"/>
              </w:rPr>
            </w:pPr>
            <w:r>
              <w:rPr>
                <w:sz w:val="24"/>
              </w:rPr>
              <w:t>2.</w:t>
            </w:r>
          </w:p>
        </w:tc>
        <w:tc>
          <w:tcPr>
            <w:tcW w:type="dxa" w:w="765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C5000000">
            <w:pPr>
              <w:ind/>
              <w:jc w:val="both"/>
              <w:rPr>
                <w:sz w:val="24"/>
              </w:rPr>
            </w:pPr>
            <w:r>
              <w:rPr>
                <w:sz w:val="24"/>
              </w:rPr>
              <w:t>Комплекс процессных мероприятий «Создание условий для повышения заинтересованности граждан, организаций и иных лиц в реализации мероприятий по благоустройству общественных территорий муниципальных образований Белокалитвинского района», в том числе:</w:t>
            </w:r>
          </w:p>
        </w:tc>
        <w:tc>
          <w:tcPr>
            <w:tcW w:type="dxa" w:w="1418"/>
            <w:tcBorders>
              <w:top w:color="000000" w:sz="6" w:val="single"/>
              <w:left w:color="000000" w:sz="4" w:val="single"/>
              <w:bottom w:color="000000" w:sz="4" w:val="single"/>
              <w:right w:color="000000" w:sz="4" w:val="single"/>
            </w:tcBorders>
            <w:shd w:fill="auto" w:val="clear"/>
            <w:tcMar>
              <w:top w:type="dxa" w:w="102"/>
              <w:left w:type="dxa" w:w="62"/>
              <w:bottom w:type="dxa" w:w="102"/>
              <w:right w:type="dxa" w:w="62"/>
            </w:tcMar>
            <w:vAlign w:val="center"/>
          </w:tcPr>
          <w:p w14:paraId="C6000000">
            <w:pPr>
              <w:ind/>
              <w:jc w:val="center"/>
              <w:rPr>
                <w:sz w:val="24"/>
              </w:rPr>
            </w:pPr>
            <w:r>
              <w:rPr>
                <w:sz w:val="24"/>
              </w:rPr>
              <w:t>0,0</w:t>
            </w:r>
          </w:p>
        </w:tc>
        <w:tc>
          <w:tcPr>
            <w:tcW w:type="dxa" w:w="1376"/>
            <w:tcBorders>
              <w:top w:color="000000" w:sz="6" w:val="single"/>
              <w:left w:sz="4" w:val="nil"/>
              <w:bottom w:color="000000" w:sz="4" w:val="single"/>
              <w:right w:color="000000" w:sz="4" w:val="single"/>
            </w:tcBorders>
            <w:shd w:fill="auto" w:val="clear"/>
            <w:tcMar>
              <w:top w:type="dxa" w:w="102"/>
              <w:left w:type="dxa" w:w="62"/>
              <w:bottom w:type="dxa" w:w="102"/>
              <w:right w:type="dxa" w:w="62"/>
            </w:tcMar>
            <w:vAlign w:val="center"/>
          </w:tcPr>
          <w:p w14:paraId="C7000000">
            <w:pPr>
              <w:ind/>
              <w:jc w:val="center"/>
              <w:rPr>
                <w:sz w:val="24"/>
              </w:rPr>
            </w:pPr>
            <w:r>
              <w:rPr>
                <w:sz w:val="24"/>
              </w:rPr>
              <w:t>0,0</w:t>
            </w:r>
          </w:p>
        </w:tc>
        <w:tc>
          <w:tcPr>
            <w:tcW w:type="dxa" w:w="1308"/>
            <w:tcBorders>
              <w:top w:color="000000" w:sz="6" w:val="single"/>
              <w:left w:sz="4" w:val="nil"/>
              <w:bottom w:color="000000" w:sz="4" w:val="single"/>
              <w:right w:color="000000" w:sz="4" w:val="single"/>
            </w:tcBorders>
            <w:shd w:fill="auto" w:val="clear"/>
            <w:tcMar>
              <w:top w:type="dxa" w:w="102"/>
              <w:left w:type="dxa" w:w="62"/>
              <w:bottom w:type="dxa" w:w="102"/>
              <w:right w:type="dxa" w:w="62"/>
            </w:tcMar>
            <w:vAlign w:val="center"/>
          </w:tcPr>
          <w:p w14:paraId="C8000000">
            <w:pPr>
              <w:ind/>
              <w:jc w:val="center"/>
              <w:rPr>
                <w:sz w:val="24"/>
              </w:rPr>
            </w:pPr>
            <w:r>
              <w:rPr>
                <w:sz w:val="24"/>
              </w:rPr>
              <w:t>0,0</w:t>
            </w:r>
          </w:p>
        </w:tc>
        <w:tc>
          <w:tcPr>
            <w:tcW w:type="dxa" w:w="1221"/>
            <w:tcBorders>
              <w:top w:color="000000" w:sz="6" w:val="single"/>
              <w:left w:color="000000" w:sz="4" w:val="single"/>
              <w:bottom w:color="000000" w:sz="4" w:val="single"/>
              <w:right w:color="000000" w:sz="4" w:val="single"/>
            </w:tcBorders>
            <w:tcMar>
              <w:top w:type="dxa" w:w="102"/>
              <w:left w:type="dxa" w:w="62"/>
              <w:bottom w:type="dxa" w:w="102"/>
              <w:right w:type="dxa" w:w="62"/>
            </w:tcMar>
            <w:vAlign w:val="center"/>
          </w:tcPr>
          <w:p w14:paraId="C9000000">
            <w:pPr>
              <w:ind/>
              <w:jc w:val="center"/>
              <w:rPr>
                <w:sz w:val="24"/>
              </w:rPr>
            </w:pPr>
            <w:r>
              <w:rPr>
                <w:sz w:val="24"/>
              </w:rPr>
              <w:t>0,0</w:t>
            </w:r>
          </w:p>
        </w:tc>
        <w:tc>
          <w:tcPr>
            <w:tcW w:type="dxa" w:w="1605"/>
            <w:tcBorders>
              <w:top w:color="000000" w:sz="6" w:val="single"/>
              <w:left w:color="000000" w:sz="4" w:val="single"/>
              <w:bottom w:color="000000" w:sz="4" w:val="single"/>
              <w:right w:color="000000" w:sz="4" w:val="single"/>
            </w:tcBorders>
            <w:shd w:fill="auto" w:val="clear"/>
            <w:tcMar>
              <w:top w:type="dxa" w:w="102"/>
              <w:left w:type="dxa" w:w="62"/>
              <w:bottom w:type="dxa" w:w="102"/>
              <w:right w:type="dxa" w:w="62"/>
            </w:tcMar>
            <w:vAlign w:val="center"/>
          </w:tcPr>
          <w:p w14:paraId="CA000000">
            <w:pPr>
              <w:ind/>
              <w:jc w:val="center"/>
              <w:rPr>
                <w:sz w:val="24"/>
              </w:rPr>
            </w:pPr>
            <w:r>
              <w:rPr>
                <w:sz w:val="24"/>
              </w:rPr>
              <w:t>0,0</w:t>
            </w:r>
          </w:p>
        </w:tc>
      </w:tr>
      <w:tr>
        <w:trPr>
          <w:trHeight w:hRule="atLeast" w:val="175"/>
        </w:trPr>
        <w:tc>
          <w:tcPr>
            <w:tcW w:type="dxa" w:w="56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CB000000">
            <w:pPr>
              <w:rPr>
                <w:sz w:val="24"/>
              </w:rPr>
            </w:pPr>
          </w:p>
        </w:tc>
        <w:tc>
          <w:tcPr>
            <w:tcW w:type="dxa" w:w="765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CC000000">
            <w:pPr>
              <w:ind/>
              <w:jc w:val="right"/>
              <w:rPr>
                <w:sz w:val="24"/>
              </w:rPr>
            </w:pPr>
            <w:r>
              <w:rPr>
                <w:sz w:val="24"/>
              </w:rPr>
              <w:t>местный бюджет (всего), из них:</w:t>
            </w:r>
          </w:p>
        </w:tc>
        <w:tc>
          <w:tcPr>
            <w:tcW w:type="dxa" w:w="1418"/>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CD000000">
            <w:pPr>
              <w:ind/>
              <w:jc w:val="center"/>
              <w:rPr>
                <w:sz w:val="24"/>
              </w:rPr>
            </w:pPr>
            <w:r>
              <w:rPr>
                <w:sz w:val="24"/>
              </w:rPr>
              <w:t>0,0</w:t>
            </w:r>
          </w:p>
        </w:tc>
        <w:tc>
          <w:tcPr>
            <w:tcW w:type="dxa" w:w="1376"/>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CE000000">
            <w:pPr>
              <w:ind/>
              <w:jc w:val="center"/>
              <w:rPr>
                <w:sz w:val="24"/>
              </w:rPr>
            </w:pPr>
            <w:r>
              <w:rPr>
                <w:sz w:val="24"/>
              </w:rPr>
              <w:t>0,0</w:t>
            </w:r>
          </w:p>
        </w:tc>
        <w:tc>
          <w:tcPr>
            <w:tcW w:type="dxa" w:w="1308"/>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CF000000">
            <w:pPr>
              <w:ind/>
              <w:jc w:val="center"/>
              <w:rPr>
                <w:sz w:val="24"/>
              </w:rPr>
            </w:pPr>
            <w:r>
              <w:rPr>
                <w:sz w:val="24"/>
              </w:rPr>
              <w:t>0,0</w:t>
            </w:r>
          </w:p>
        </w:tc>
        <w:tc>
          <w:tcPr>
            <w:tcW w:type="dxa" w:w="1221"/>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D0000000">
            <w:pPr>
              <w:ind/>
              <w:jc w:val="center"/>
              <w:rPr>
                <w:sz w:val="24"/>
              </w:rPr>
            </w:pPr>
            <w:r>
              <w:rPr>
                <w:sz w:val="24"/>
              </w:rPr>
              <w:t>0,0</w:t>
            </w:r>
          </w:p>
        </w:tc>
        <w:tc>
          <w:tcPr>
            <w:tcW w:type="dxa" w:w="1605"/>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D1000000">
            <w:pPr>
              <w:ind/>
              <w:jc w:val="center"/>
              <w:rPr>
                <w:sz w:val="24"/>
              </w:rPr>
            </w:pPr>
            <w:r>
              <w:rPr>
                <w:sz w:val="24"/>
              </w:rPr>
              <w:t>0,0</w:t>
            </w:r>
          </w:p>
        </w:tc>
      </w:tr>
      <w:tr>
        <w:trPr>
          <w:trHeight w:hRule="atLeast" w:val="325"/>
        </w:trPr>
        <w:tc>
          <w:tcPr>
            <w:tcW w:type="dxa" w:w="56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D2000000">
            <w:pPr>
              <w:rPr>
                <w:sz w:val="24"/>
              </w:rPr>
            </w:pPr>
          </w:p>
        </w:tc>
        <w:tc>
          <w:tcPr>
            <w:tcW w:type="dxa" w:w="765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D3000000">
            <w:pPr>
              <w:ind/>
              <w:jc w:val="right"/>
              <w:rPr>
                <w:sz w:val="24"/>
              </w:rPr>
            </w:pPr>
            <w:r>
              <w:rPr>
                <w:sz w:val="24"/>
              </w:rPr>
              <w:t>безвозмездные поступления в местный бюджет, в том числе за счет средств:</w:t>
            </w:r>
          </w:p>
        </w:tc>
        <w:tc>
          <w:tcPr>
            <w:tcW w:type="dxa" w:w="1418"/>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D4000000">
            <w:pPr>
              <w:ind/>
              <w:jc w:val="center"/>
              <w:rPr>
                <w:sz w:val="24"/>
              </w:rPr>
            </w:pPr>
            <w:r>
              <w:rPr>
                <w:sz w:val="24"/>
              </w:rPr>
              <w:t>0,0</w:t>
            </w:r>
          </w:p>
        </w:tc>
        <w:tc>
          <w:tcPr>
            <w:tcW w:type="dxa" w:w="1376"/>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D5000000">
            <w:pPr>
              <w:ind/>
              <w:jc w:val="center"/>
              <w:rPr>
                <w:sz w:val="24"/>
              </w:rPr>
            </w:pPr>
            <w:r>
              <w:rPr>
                <w:sz w:val="24"/>
              </w:rPr>
              <w:t>0,0</w:t>
            </w:r>
          </w:p>
        </w:tc>
        <w:tc>
          <w:tcPr>
            <w:tcW w:type="dxa" w:w="1308"/>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D6000000">
            <w:pPr>
              <w:ind/>
              <w:jc w:val="center"/>
              <w:rPr>
                <w:sz w:val="24"/>
              </w:rPr>
            </w:pPr>
            <w:r>
              <w:rPr>
                <w:sz w:val="24"/>
              </w:rPr>
              <w:t>0,0</w:t>
            </w:r>
          </w:p>
        </w:tc>
        <w:tc>
          <w:tcPr>
            <w:tcW w:type="dxa" w:w="1221"/>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D7000000">
            <w:pPr>
              <w:ind/>
              <w:jc w:val="center"/>
              <w:rPr>
                <w:sz w:val="24"/>
              </w:rPr>
            </w:pPr>
            <w:r>
              <w:rPr>
                <w:sz w:val="24"/>
              </w:rPr>
              <w:t>0,0</w:t>
            </w:r>
          </w:p>
        </w:tc>
        <w:tc>
          <w:tcPr>
            <w:tcW w:type="dxa" w:w="1605"/>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D8000000">
            <w:pPr>
              <w:ind/>
              <w:jc w:val="center"/>
              <w:rPr>
                <w:sz w:val="24"/>
              </w:rPr>
            </w:pPr>
            <w:r>
              <w:rPr>
                <w:sz w:val="24"/>
              </w:rPr>
              <w:t>0,0</w:t>
            </w:r>
          </w:p>
        </w:tc>
      </w:tr>
      <w:tr>
        <w:trPr>
          <w:trHeight w:hRule="atLeast" w:val="119"/>
        </w:trPr>
        <w:tc>
          <w:tcPr>
            <w:tcW w:type="dxa" w:w="56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D9000000">
            <w:pPr>
              <w:rPr>
                <w:sz w:val="24"/>
              </w:rPr>
            </w:pPr>
          </w:p>
        </w:tc>
        <w:tc>
          <w:tcPr>
            <w:tcW w:type="dxa" w:w="7657"/>
            <w:tcBorders>
              <w:top w:color="000000" w:sz="4" w:val="single"/>
              <w:left w:color="000000" w:sz="4" w:val="single"/>
              <w:bottom w:color="000000" w:sz="4" w:val="single"/>
              <w:right w:color="000000" w:sz="4" w:val="single"/>
            </w:tcBorders>
            <w:tcMar>
              <w:top w:type="dxa" w:w="102"/>
              <w:left w:type="dxa" w:w="62"/>
              <w:bottom w:type="dxa" w:w="102"/>
              <w:right w:type="dxa" w:w="62"/>
            </w:tcMar>
          </w:tcPr>
          <w:p w14:paraId="DA000000">
            <w:pPr>
              <w:ind/>
              <w:jc w:val="right"/>
              <w:rPr>
                <w:sz w:val="24"/>
                <w:highlight w:val="yellow"/>
              </w:rPr>
            </w:pPr>
            <w:r>
              <w:rPr>
                <w:sz w:val="24"/>
              </w:rPr>
              <w:t>областной бюджет</w:t>
            </w:r>
          </w:p>
        </w:tc>
        <w:tc>
          <w:tcPr>
            <w:tcW w:type="dxa" w:w="1418"/>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DB000000">
            <w:pPr>
              <w:ind/>
              <w:jc w:val="center"/>
              <w:rPr>
                <w:sz w:val="24"/>
              </w:rPr>
            </w:pPr>
            <w:r>
              <w:rPr>
                <w:sz w:val="24"/>
              </w:rPr>
              <w:t>0,0</w:t>
            </w:r>
          </w:p>
        </w:tc>
        <w:tc>
          <w:tcPr>
            <w:tcW w:type="dxa" w:w="1376"/>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DC000000">
            <w:pPr>
              <w:ind/>
              <w:jc w:val="center"/>
              <w:rPr>
                <w:sz w:val="24"/>
              </w:rPr>
            </w:pPr>
            <w:r>
              <w:rPr>
                <w:sz w:val="24"/>
              </w:rPr>
              <w:t>0,0</w:t>
            </w:r>
          </w:p>
        </w:tc>
        <w:tc>
          <w:tcPr>
            <w:tcW w:type="dxa" w:w="1308"/>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DD000000">
            <w:pPr>
              <w:ind/>
              <w:jc w:val="center"/>
              <w:rPr>
                <w:sz w:val="24"/>
              </w:rPr>
            </w:pPr>
            <w:r>
              <w:rPr>
                <w:sz w:val="24"/>
              </w:rPr>
              <w:t>0,0</w:t>
            </w:r>
          </w:p>
        </w:tc>
        <w:tc>
          <w:tcPr>
            <w:tcW w:type="dxa" w:w="1221"/>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DE000000">
            <w:pPr>
              <w:ind/>
              <w:jc w:val="center"/>
              <w:rPr>
                <w:sz w:val="24"/>
              </w:rPr>
            </w:pPr>
            <w:r>
              <w:rPr>
                <w:sz w:val="24"/>
              </w:rPr>
              <w:t>0,0</w:t>
            </w:r>
          </w:p>
        </w:tc>
        <w:tc>
          <w:tcPr>
            <w:tcW w:type="dxa" w:w="1605"/>
            <w:tcBorders>
              <w:top w:color="000000" w:sz="4" w:val="single"/>
              <w:left w:color="000000" w:sz="4" w:val="single"/>
              <w:bottom w:color="000000" w:sz="4" w:val="single"/>
              <w:right w:color="000000" w:sz="4" w:val="single"/>
            </w:tcBorders>
            <w:tcMar>
              <w:top w:type="dxa" w:w="102"/>
              <w:left w:type="dxa" w:w="62"/>
              <w:bottom w:type="dxa" w:w="102"/>
              <w:right w:type="dxa" w:w="62"/>
            </w:tcMar>
            <w:vAlign w:val="center"/>
          </w:tcPr>
          <w:p w14:paraId="DF000000">
            <w:pPr>
              <w:ind/>
              <w:jc w:val="center"/>
              <w:rPr>
                <w:sz w:val="24"/>
              </w:rPr>
            </w:pPr>
            <w:r>
              <w:rPr>
                <w:sz w:val="24"/>
              </w:rPr>
              <w:t>0,0</w:t>
            </w:r>
          </w:p>
        </w:tc>
      </w:tr>
    </w:tbl>
    <w:p w14:paraId="E0000000">
      <w:pPr>
        <w:ind/>
        <w:jc w:val="left"/>
        <w:rPr>
          <w:sz w:val="24"/>
        </w:rPr>
      </w:pPr>
    </w:p>
    <w:p w14:paraId="E1000000">
      <w:pPr>
        <w:ind/>
        <w:jc w:val="center"/>
        <w:rPr>
          <w:sz w:val="28"/>
        </w:rPr>
      </w:pPr>
    </w:p>
    <w:p w14:paraId="E2000000">
      <w:pPr>
        <w:ind/>
        <w:jc w:val="center"/>
        <w:rPr>
          <w:sz w:val="28"/>
        </w:rPr>
      </w:pPr>
    </w:p>
    <w:p w14:paraId="E3000000">
      <w:pPr>
        <w:ind/>
        <w:jc w:val="center"/>
        <w:rPr>
          <w:sz w:val="28"/>
        </w:rPr>
      </w:pPr>
    </w:p>
    <w:p w14:paraId="E4000000">
      <w:pPr>
        <w:ind/>
        <w:jc w:val="center"/>
        <w:rPr>
          <w:sz w:val="28"/>
        </w:rPr>
      </w:pPr>
    </w:p>
    <w:p w14:paraId="E5000000">
      <w:pPr>
        <w:ind/>
        <w:jc w:val="center"/>
        <w:rPr>
          <w:sz w:val="24"/>
        </w:rPr>
      </w:pPr>
    </w:p>
    <w:p w14:paraId="E6000000">
      <w:pPr>
        <w:ind w:firstLine="709"/>
        <w:rPr>
          <w:sz w:val="28"/>
        </w:rPr>
      </w:pPr>
      <w:r>
        <w:rPr>
          <w:sz w:val="28"/>
        </w:rPr>
        <w:t xml:space="preserve">1.3. Приложение № 1 «Адресный перечень общественных территорий Белокалитвинского района» изложить в следующей редакции:   </w:t>
      </w:r>
    </w:p>
    <w:p w14:paraId="E7000000">
      <w:pPr>
        <w:ind w:right="211"/>
        <w:jc w:val="right"/>
      </w:pPr>
      <w:r>
        <w:t>Приложение №1</w:t>
      </w:r>
    </w:p>
    <w:p w14:paraId="E8000000">
      <w:pPr>
        <w:ind w:right="211"/>
        <w:jc w:val="right"/>
      </w:pPr>
      <w:r>
        <w:t xml:space="preserve">к муниципальной программе </w:t>
      </w:r>
    </w:p>
    <w:p w14:paraId="E9000000">
      <w:pPr>
        <w:ind w:right="211"/>
        <w:jc w:val="right"/>
      </w:pPr>
      <w:r>
        <w:t>Белокалитвинского района</w:t>
      </w:r>
    </w:p>
    <w:p w14:paraId="EA000000">
      <w:pPr>
        <w:ind w:right="211"/>
        <w:jc w:val="right"/>
        <w:rPr>
          <w:highlight w:val="white"/>
        </w:rPr>
      </w:pPr>
      <w:r>
        <w:t>«</w:t>
      </w:r>
      <w:r>
        <w:rPr>
          <w:highlight w:val="white"/>
        </w:rPr>
        <w:t xml:space="preserve">Формирование современной городской среды </w:t>
      </w:r>
    </w:p>
    <w:p w14:paraId="EB000000">
      <w:pPr>
        <w:ind w:right="211"/>
        <w:jc w:val="right"/>
      </w:pPr>
      <w:r>
        <w:rPr>
          <w:highlight w:val="white"/>
        </w:rPr>
        <w:t>на территории Белокалитвинского района</w:t>
      </w:r>
      <w:r>
        <w:t>»</w:t>
      </w:r>
    </w:p>
    <w:p w14:paraId="EC000000">
      <w:pPr>
        <w:ind w:right="211"/>
        <w:jc w:val="right"/>
      </w:pPr>
    </w:p>
    <w:p w14:paraId="ED000000">
      <w:pPr>
        <w:ind/>
        <w:jc w:val="center"/>
        <w:rPr>
          <w:sz w:val="28"/>
        </w:rPr>
      </w:pPr>
      <w:r>
        <w:rPr>
          <w:sz w:val="28"/>
        </w:rPr>
        <w:t>Адресный перечень общественных территорий Белокалитвинского района</w:t>
      </w:r>
    </w:p>
    <w:p w14:paraId="EE000000">
      <w:pPr>
        <w:ind/>
        <w:jc w:val="center"/>
        <w:rPr>
          <w:sz w:val="28"/>
        </w:rPr>
      </w:pPr>
    </w:p>
    <w:tbl>
      <w:tblPr>
        <w:tblStyle w:val="Style_3"/>
        <w:tblW w:type="auto" w:w="0"/>
        <w:tblInd w:type="dxa" w:w="-5"/>
        <w:tblLayout w:type="fixed"/>
      </w:tblPr>
      <w:tblGrid>
        <w:gridCol w:w="709"/>
        <w:gridCol w:w="6987"/>
        <w:gridCol w:w="1698"/>
        <w:gridCol w:w="1413"/>
        <w:gridCol w:w="1203"/>
        <w:gridCol w:w="1092"/>
        <w:gridCol w:w="1169"/>
        <w:gridCol w:w="1140"/>
      </w:tblGrid>
      <w:tr>
        <w:trPr>
          <w:trHeight w:hRule="atLeast" w:val="233"/>
        </w:trPr>
        <w:tc>
          <w:tcPr>
            <w:tcW w:type="dxa" w:w="709"/>
            <w:vMerge w:val="restart"/>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center"/>
          </w:tcPr>
          <w:p w14:paraId="EF000000">
            <w:pPr>
              <w:ind/>
              <w:jc w:val="center"/>
            </w:pPr>
            <w:r>
              <w:t xml:space="preserve">                                                  № п/</w:t>
            </w:r>
            <w:r>
              <w:t>п</w:t>
            </w:r>
          </w:p>
        </w:tc>
        <w:tc>
          <w:tcPr>
            <w:tcW w:type="dxa" w:w="6987"/>
            <w:vMerge w:val="restart"/>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center"/>
          </w:tcPr>
          <w:p w14:paraId="F0000000">
            <w:pPr>
              <w:ind/>
              <w:jc w:val="center"/>
            </w:pPr>
            <w:r>
              <w:t>Наименование объекта благоустройства</w:t>
            </w:r>
          </w:p>
        </w:tc>
        <w:tc>
          <w:tcPr>
            <w:tcW w:type="dxa" w:w="1698"/>
            <w:vMerge w:val="restart"/>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center"/>
          </w:tcPr>
          <w:p w14:paraId="F1000000">
            <w:pPr>
              <w:ind/>
              <w:jc w:val="center"/>
            </w:pPr>
            <w:r>
              <w:t>Источник финансирования</w:t>
            </w:r>
          </w:p>
        </w:tc>
        <w:tc>
          <w:tcPr>
            <w:tcW w:type="dxa" w:w="1413"/>
            <w:vMerge w:val="restart"/>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center"/>
          </w:tcPr>
          <w:p w14:paraId="F2000000">
            <w:pPr>
              <w:ind/>
              <w:jc w:val="center"/>
            </w:pPr>
            <w:r>
              <w:t>Объем расходов, всего (тыс. руб.)</w:t>
            </w:r>
          </w:p>
        </w:tc>
        <w:tc>
          <w:tcPr>
            <w:tcW w:type="dxa" w:w="4604"/>
            <w:gridSpan w:val="4"/>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center"/>
          </w:tcPr>
          <w:p w14:paraId="F3000000">
            <w:pPr>
              <w:ind/>
              <w:jc w:val="center"/>
            </w:pPr>
            <w:r>
              <w:t xml:space="preserve">В том числе по годам реализации </w:t>
            </w:r>
          </w:p>
          <w:p w14:paraId="F4000000">
            <w:pPr>
              <w:ind/>
              <w:jc w:val="center"/>
            </w:pPr>
            <w:r>
              <w:t>(тыс. руб.)</w:t>
            </w:r>
          </w:p>
        </w:tc>
      </w:tr>
      <w:tr>
        <w:trPr>
          <w:trHeight w:hRule="atLeast" w:val="233"/>
        </w:trPr>
        <w:tc>
          <w:tcPr>
            <w:tcW w:type="dxa" w:w="709"/>
            <w:gridSpan w:val="1"/>
            <w:vMerge w:val="continue"/>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center"/>
          </w:tcPr>
          <w:p/>
        </w:tc>
        <w:tc>
          <w:tcPr>
            <w:tcW w:type="dxa" w:w="6987"/>
            <w:gridSpan w:val="1"/>
            <w:vMerge w:val="continue"/>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center"/>
          </w:tcPr>
          <w:p/>
        </w:tc>
        <w:tc>
          <w:tcPr>
            <w:tcW w:type="dxa" w:w="1698"/>
            <w:gridSpan w:val="1"/>
            <w:vMerge w:val="continue"/>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center"/>
          </w:tcPr>
          <w:p/>
        </w:tc>
        <w:tc>
          <w:tcPr>
            <w:tcW w:type="dxa" w:w="1413"/>
            <w:gridSpan w:val="1"/>
            <w:vMerge w:val="continue"/>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center"/>
          </w:tcPr>
          <w:p/>
        </w:tc>
        <w:tc>
          <w:tcPr>
            <w:tcW w:type="dxa" w:w="1203"/>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center"/>
          </w:tcPr>
          <w:p w14:paraId="F5000000">
            <w:pPr>
              <w:ind/>
              <w:jc w:val="center"/>
            </w:pPr>
            <w:r>
              <w:t>2025</w:t>
            </w:r>
          </w:p>
          <w:p w14:paraId="F6000000">
            <w:pPr>
              <w:ind/>
              <w:jc w:val="center"/>
            </w:pPr>
            <w:r>
              <w:t>год</w:t>
            </w:r>
          </w:p>
        </w:tc>
        <w:tc>
          <w:tcPr>
            <w:tcW w:type="dxa" w:w="1092"/>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center"/>
          </w:tcPr>
          <w:p w14:paraId="F7000000">
            <w:pPr>
              <w:ind/>
              <w:jc w:val="center"/>
            </w:pPr>
            <w:r>
              <w:t xml:space="preserve">2026 </w:t>
            </w:r>
            <w:r>
              <w:t>год</w:t>
            </w:r>
          </w:p>
        </w:tc>
        <w:tc>
          <w:tcPr>
            <w:tcW w:type="dxa" w:w="1169"/>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center"/>
          </w:tcPr>
          <w:p w14:paraId="F8000000">
            <w:pPr>
              <w:ind/>
              <w:jc w:val="center"/>
            </w:pPr>
            <w:r>
              <w:t>2027</w:t>
            </w:r>
          </w:p>
          <w:p w14:paraId="F9000000">
            <w:pPr>
              <w:ind/>
              <w:jc w:val="center"/>
            </w:pPr>
            <w:r>
              <w:t>год</w:t>
            </w:r>
          </w:p>
        </w:tc>
        <w:tc>
          <w:tcPr>
            <w:tcW w:type="dxa" w:w="1140"/>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center"/>
          </w:tcPr>
          <w:p w14:paraId="FA000000">
            <w:pPr>
              <w:ind/>
              <w:jc w:val="center"/>
            </w:pPr>
            <w:r>
              <w:t>2028 год</w:t>
            </w:r>
          </w:p>
        </w:tc>
      </w:tr>
      <w:tr>
        <w:trPr>
          <w:trHeight w:hRule="atLeast" w:val="426"/>
        </w:trPr>
        <w:tc>
          <w:tcPr>
            <w:tcW w:type="dxa" w:w="709"/>
            <w:vMerge w:val="restart"/>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center"/>
          </w:tcPr>
          <w:p w14:paraId="FB000000">
            <w:pPr>
              <w:tabs>
                <w:tab w:leader="none" w:pos="378" w:val="left"/>
              </w:tabs>
              <w:ind/>
              <w:jc w:val="center"/>
            </w:pPr>
            <w:r>
              <w:t>1</w:t>
            </w:r>
          </w:p>
        </w:tc>
        <w:tc>
          <w:tcPr>
            <w:tcW w:type="dxa" w:w="6987"/>
            <w:vMerge w:val="restart"/>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tcPr>
          <w:p w14:paraId="FC000000">
            <w:r>
              <w:t xml:space="preserve">Благоустройство общественной территории х. Ильинка </w:t>
            </w:r>
            <w:r>
              <w:br/>
            </w:r>
            <w:r>
              <w:t xml:space="preserve">ул. Центральная 18 б, в, г  </w:t>
            </w:r>
            <w:r>
              <w:t>(2 этап)</w:t>
            </w:r>
          </w:p>
        </w:tc>
        <w:tc>
          <w:tcPr>
            <w:tcW w:type="dxa" w:w="1698"/>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tcPr>
          <w:p w14:paraId="FD000000">
            <w:r>
              <w:t>ВСЕГО</w:t>
            </w:r>
          </w:p>
        </w:tc>
        <w:tc>
          <w:tcPr>
            <w:tcW w:type="dxa" w:w="1413"/>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center"/>
          </w:tcPr>
          <w:p w14:paraId="FE000000">
            <w:pPr>
              <w:ind/>
              <w:jc w:val="center"/>
            </w:pPr>
            <w:r>
              <w:t>38 355,5</w:t>
            </w:r>
          </w:p>
        </w:tc>
        <w:tc>
          <w:tcPr>
            <w:tcW w:type="dxa" w:w="1203"/>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center"/>
          </w:tcPr>
          <w:p w14:paraId="FF000000">
            <w:pPr>
              <w:ind/>
              <w:jc w:val="center"/>
            </w:pPr>
            <w:r>
              <w:t>38 355,5</w:t>
            </w:r>
          </w:p>
        </w:tc>
        <w:tc>
          <w:tcPr>
            <w:tcW w:type="dxa" w:w="1092"/>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center"/>
          </w:tcPr>
          <w:p w14:paraId="00010000">
            <w:pPr>
              <w:ind/>
              <w:jc w:val="center"/>
            </w:pPr>
            <w:r>
              <w:t>0</w:t>
            </w:r>
          </w:p>
        </w:tc>
        <w:tc>
          <w:tcPr>
            <w:tcW w:type="dxa" w:w="1169"/>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center"/>
          </w:tcPr>
          <w:p w14:paraId="01010000">
            <w:pPr>
              <w:ind/>
              <w:jc w:val="center"/>
            </w:pPr>
            <w:r>
              <w:t>0</w:t>
            </w:r>
          </w:p>
        </w:tc>
        <w:tc>
          <w:tcPr>
            <w:tcW w:type="dxa" w:w="1140"/>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center"/>
          </w:tcPr>
          <w:p w14:paraId="02010000">
            <w:pPr>
              <w:ind/>
              <w:jc w:val="center"/>
            </w:pPr>
            <w:r>
              <w:t>0</w:t>
            </w:r>
          </w:p>
        </w:tc>
      </w:tr>
      <w:tr>
        <w:trPr>
          <w:trHeight w:hRule="atLeast" w:val="471"/>
        </w:trPr>
        <w:tc>
          <w:tcPr>
            <w:tcW w:type="dxa" w:w="709"/>
            <w:gridSpan w:val="1"/>
            <w:vMerge w:val="continue"/>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center"/>
          </w:tcPr>
          <w:p/>
        </w:tc>
        <w:tc>
          <w:tcPr>
            <w:tcW w:type="dxa" w:w="6987"/>
            <w:gridSpan w:val="1"/>
            <w:vMerge w:val="continue"/>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tcPr>
          <w:p/>
        </w:tc>
        <w:tc>
          <w:tcPr>
            <w:tcW w:type="dxa" w:w="1698"/>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tcPr>
          <w:p w14:paraId="03010000">
            <w:r>
              <w:t>Федеральный</w:t>
            </w:r>
          </w:p>
        </w:tc>
        <w:tc>
          <w:tcPr>
            <w:tcW w:type="dxa" w:w="1413"/>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center"/>
          </w:tcPr>
          <w:p w14:paraId="04010000">
            <w:pPr>
              <w:ind/>
              <w:jc w:val="center"/>
            </w:pPr>
            <w:r>
              <w:t>0</w:t>
            </w:r>
          </w:p>
        </w:tc>
        <w:tc>
          <w:tcPr>
            <w:tcW w:type="dxa" w:w="1203"/>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center"/>
          </w:tcPr>
          <w:p w14:paraId="05010000">
            <w:pPr>
              <w:ind/>
              <w:jc w:val="center"/>
            </w:pPr>
            <w:r>
              <w:t>0</w:t>
            </w:r>
          </w:p>
        </w:tc>
        <w:tc>
          <w:tcPr>
            <w:tcW w:type="dxa" w:w="1092"/>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center"/>
          </w:tcPr>
          <w:p w14:paraId="06010000">
            <w:pPr>
              <w:ind/>
              <w:jc w:val="center"/>
            </w:pPr>
            <w:r>
              <w:t>0</w:t>
            </w:r>
          </w:p>
        </w:tc>
        <w:tc>
          <w:tcPr>
            <w:tcW w:type="dxa" w:w="1169"/>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center"/>
          </w:tcPr>
          <w:p w14:paraId="07010000">
            <w:pPr>
              <w:ind/>
              <w:jc w:val="center"/>
            </w:pPr>
            <w:r>
              <w:t>0</w:t>
            </w:r>
          </w:p>
        </w:tc>
        <w:tc>
          <w:tcPr>
            <w:tcW w:type="dxa" w:w="1140"/>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center"/>
          </w:tcPr>
          <w:p w14:paraId="08010000">
            <w:pPr>
              <w:ind/>
              <w:jc w:val="center"/>
            </w:pPr>
            <w:r>
              <w:t>0</w:t>
            </w:r>
          </w:p>
        </w:tc>
      </w:tr>
      <w:tr>
        <w:trPr>
          <w:trHeight w:hRule="atLeast" w:val="536"/>
        </w:trPr>
        <w:tc>
          <w:tcPr>
            <w:tcW w:type="dxa" w:w="709"/>
            <w:gridSpan w:val="1"/>
            <w:vMerge w:val="continue"/>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center"/>
          </w:tcPr>
          <w:p/>
        </w:tc>
        <w:tc>
          <w:tcPr>
            <w:tcW w:type="dxa" w:w="6987"/>
            <w:gridSpan w:val="1"/>
            <w:vMerge w:val="continue"/>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tcPr>
          <w:p/>
        </w:tc>
        <w:tc>
          <w:tcPr>
            <w:tcW w:type="dxa" w:w="1698"/>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tcPr>
          <w:p w14:paraId="09010000">
            <w:r>
              <w:t>Областной</w:t>
            </w:r>
          </w:p>
        </w:tc>
        <w:tc>
          <w:tcPr>
            <w:tcW w:type="dxa" w:w="1413"/>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center"/>
          </w:tcPr>
          <w:p w14:paraId="0A010000">
            <w:pPr>
              <w:ind/>
              <w:jc w:val="center"/>
            </w:pPr>
            <w:r>
              <w:t>38 355,5</w:t>
            </w:r>
          </w:p>
        </w:tc>
        <w:tc>
          <w:tcPr>
            <w:tcW w:type="dxa" w:w="1203"/>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center"/>
          </w:tcPr>
          <w:p w14:paraId="0B010000">
            <w:pPr>
              <w:ind/>
              <w:jc w:val="center"/>
            </w:pPr>
            <w:r>
              <w:t>38 355,5</w:t>
            </w:r>
          </w:p>
        </w:tc>
        <w:tc>
          <w:tcPr>
            <w:tcW w:type="dxa" w:w="1092"/>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center"/>
          </w:tcPr>
          <w:p w14:paraId="0C010000">
            <w:pPr>
              <w:ind/>
              <w:jc w:val="center"/>
            </w:pPr>
            <w:r>
              <w:t>0</w:t>
            </w:r>
          </w:p>
        </w:tc>
        <w:tc>
          <w:tcPr>
            <w:tcW w:type="dxa" w:w="1169"/>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center"/>
          </w:tcPr>
          <w:p w14:paraId="0D010000">
            <w:pPr>
              <w:ind/>
              <w:jc w:val="center"/>
            </w:pPr>
            <w:r>
              <w:t>0</w:t>
            </w:r>
          </w:p>
        </w:tc>
        <w:tc>
          <w:tcPr>
            <w:tcW w:type="dxa" w:w="1140"/>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center"/>
          </w:tcPr>
          <w:p w14:paraId="0E010000">
            <w:pPr>
              <w:ind/>
              <w:jc w:val="center"/>
            </w:pPr>
            <w:r>
              <w:t>0</w:t>
            </w:r>
          </w:p>
        </w:tc>
      </w:tr>
      <w:tr>
        <w:trPr>
          <w:trHeight w:hRule="atLeast" w:val="429"/>
        </w:trPr>
        <w:tc>
          <w:tcPr>
            <w:tcW w:type="dxa" w:w="709"/>
            <w:vMerge w:val="restart"/>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center"/>
          </w:tcPr>
          <w:p w14:paraId="0F010000">
            <w:pPr>
              <w:tabs>
                <w:tab w:leader="none" w:pos="378" w:val="left"/>
              </w:tabs>
              <w:ind/>
              <w:jc w:val="center"/>
            </w:pPr>
            <w:r>
              <w:t>2</w:t>
            </w:r>
          </w:p>
        </w:tc>
        <w:tc>
          <w:tcPr>
            <w:tcW w:type="dxa" w:w="6987"/>
            <w:vMerge w:val="restart"/>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tcPr>
          <w:p w14:paraId="10010000">
            <w:r>
              <w:t xml:space="preserve">Благоустройство земельного участка по адресу: Российская Федерация, Ростовская область, Белокалитвинский район, </w:t>
            </w:r>
            <w:r>
              <w:t>Синегорское</w:t>
            </w:r>
            <w:r>
              <w:t xml:space="preserve"> сельское поселение, п. Мельничный,</w:t>
            </w:r>
            <w:r>
              <w:t xml:space="preserve"> ул. Береговая, земельный участок № 1б</w:t>
            </w:r>
          </w:p>
        </w:tc>
        <w:tc>
          <w:tcPr>
            <w:tcW w:type="dxa" w:w="1698"/>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tcPr>
          <w:p w14:paraId="11010000">
            <w:r>
              <w:t>ВСЕГО</w:t>
            </w:r>
          </w:p>
        </w:tc>
        <w:tc>
          <w:tcPr>
            <w:tcW w:type="dxa" w:w="1413"/>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center"/>
          </w:tcPr>
          <w:p w14:paraId="12010000">
            <w:pPr>
              <w:ind/>
              <w:jc w:val="center"/>
            </w:pPr>
            <w:r>
              <w:t>2 218,6</w:t>
            </w:r>
          </w:p>
        </w:tc>
        <w:tc>
          <w:tcPr>
            <w:tcW w:type="dxa" w:w="1203"/>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center"/>
          </w:tcPr>
          <w:p w14:paraId="13010000">
            <w:pPr>
              <w:ind/>
              <w:jc w:val="center"/>
            </w:pPr>
            <w:r>
              <w:t>2 218,6</w:t>
            </w:r>
          </w:p>
        </w:tc>
        <w:tc>
          <w:tcPr>
            <w:tcW w:type="dxa" w:w="1092"/>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center"/>
          </w:tcPr>
          <w:p w14:paraId="14010000">
            <w:pPr>
              <w:ind/>
              <w:jc w:val="center"/>
            </w:pPr>
            <w:r>
              <w:t>0</w:t>
            </w:r>
          </w:p>
        </w:tc>
        <w:tc>
          <w:tcPr>
            <w:tcW w:type="dxa" w:w="1169"/>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center"/>
          </w:tcPr>
          <w:p w14:paraId="15010000">
            <w:pPr>
              <w:ind/>
              <w:jc w:val="center"/>
            </w:pPr>
            <w:r>
              <w:t>0</w:t>
            </w:r>
          </w:p>
        </w:tc>
        <w:tc>
          <w:tcPr>
            <w:tcW w:type="dxa" w:w="1140"/>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center"/>
          </w:tcPr>
          <w:p w14:paraId="16010000">
            <w:pPr>
              <w:ind/>
              <w:jc w:val="center"/>
            </w:pPr>
            <w:r>
              <w:t>0</w:t>
            </w:r>
          </w:p>
        </w:tc>
      </w:tr>
      <w:tr>
        <w:trPr>
          <w:trHeight w:hRule="atLeast" w:val="407"/>
        </w:trPr>
        <w:tc>
          <w:tcPr>
            <w:tcW w:type="dxa" w:w="709"/>
            <w:gridSpan w:val="1"/>
            <w:vMerge w:val="continue"/>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center"/>
          </w:tcPr>
          <w:p/>
        </w:tc>
        <w:tc>
          <w:tcPr>
            <w:tcW w:type="dxa" w:w="6987"/>
            <w:gridSpan w:val="1"/>
            <w:vMerge w:val="continue"/>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tcPr>
          <w:p/>
        </w:tc>
        <w:tc>
          <w:tcPr>
            <w:tcW w:type="dxa" w:w="1698"/>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tcPr>
          <w:p w14:paraId="17010000">
            <w:r>
              <w:t>Федеральный</w:t>
            </w:r>
          </w:p>
        </w:tc>
        <w:tc>
          <w:tcPr>
            <w:tcW w:type="dxa" w:w="1413"/>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center"/>
          </w:tcPr>
          <w:p w14:paraId="18010000">
            <w:pPr>
              <w:ind/>
              <w:jc w:val="center"/>
            </w:pPr>
            <w:r>
              <w:t>0</w:t>
            </w:r>
          </w:p>
        </w:tc>
        <w:tc>
          <w:tcPr>
            <w:tcW w:type="dxa" w:w="1203"/>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center"/>
          </w:tcPr>
          <w:p w14:paraId="19010000">
            <w:pPr>
              <w:ind/>
              <w:jc w:val="center"/>
            </w:pPr>
            <w:r>
              <w:t>0</w:t>
            </w:r>
          </w:p>
        </w:tc>
        <w:tc>
          <w:tcPr>
            <w:tcW w:type="dxa" w:w="1092"/>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center"/>
          </w:tcPr>
          <w:p w14:paraId="1A010000">
            <w:pPr>
              <w:ind/>
              <w:jc w:val="center"/>
            </w:pPr>
            <w:r>
              <w:t>0</w:t>
            </w:r>
          </w:p>
        </w:tc>
        <w:tc>
          <w:tcPr>
            <w:tcW w:type="dxa" w:w="1169"/>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center"/>
          </w:tcPr>
          <w:p w14:paraId="1B010000">
            <w:pPr>
              <w:ind/>
              <w:jc w:val="center"/>
            </w:pPr>
            <w:r>
              <w:t>0</w:t>
            </w:r>
          </w:p>
        </w:tc>
        <w:tc>
          <w:tcPr>
            <w:tcW w:type="dxa" w:w="1140"/>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center"/>
          </w:tcPr>
          <w:p w14:paraId="1C010000">
            <w:pPr>
              <w:ind/>
              <w:jc w:val="center"/>
            </w:pPr>
            <w:r>
              <w:t>0</w:t>
            </w:r>
          </w:p>
        </w:tc>
      </w:tr>
      <w:tr>
        <w:trPr>
          <w:trHeight w:hRule="atLeast" w:val="450"/>
        </w:trPr>
        <w:tc>
          <w:tcPr>
            <w:tcW w:type="dxa" w:w="709"/>
            <w:gridSpan w:val="1"/>
            <w:vMerge w:val="continue"/>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center"/>
          </w:tcPr>
          <w:p/>
        </w:tc>
        <w:tc>
          <w:tcPr>
            <w:tcW w:type="dxa" w:w="6987"/>
            <w:gridSpan w:val="1"/>
            <w:vMerge w:val="continue"/>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tcPr>
          <w:p/>
        </w:tc>
        <w:tc>
          <w:tcPr>
            <w:tcW w:type="dxa" w:w="1698"/>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tcPr>
          <w:p w14:paraId="1D010000">
            <w:r>
              <w:t>Областной</w:t>
            </w:r>
          </w:p>
        </w:tc>
        <w:tc>
          <w:tcPr>
            <w:tcW w:type="dxa" w:w="1413"/>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center"/>
          </w:tcPr>
          <w:p w14:paraId="1E010000">
            <w:pPr>
              <w:ind/>
              <w:jc w:val="center"/>
            </w:pPr>
            <w:r>
              <w:t>2 218,6</w:t>
            </w:r>
          </w:p>
        </w:tc>
        <w:tc>
          <w:tcPr>
            <w:tcW w:type="dxa" w:w="1203"/>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center"/>
          </w:tcPr>
          <w:p w14:paraId="1F010000">
            <w:pPr>
              <w:ind/>
              <w:jc w:val="center"/>
            </w:pPr>
            <w:r>
              <w:t>2 218,6</w:t>
            </w:r>
          </w:p>
        </w:tc>
        <w:tc>
          <w:tcPr>
            <w:tcW w:type="dxa" w:w="1092"/>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center"/>
          </w:tcPr>
          <w:p w14:paraId="20010000">
            <w:pPr>
              <w:ind/>
              <w:jc w:val="center"/>
            </w:pPr>
            <w:r>
              <w:t>0</w:t>
            </w:r>
          </w:p>
        </w:tc>
        <w:tc>
          <w:tcPr>
            <w:tcW w:type="dxa" w:w="1169"/>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center"/>
          </w:tcPr>
          <w:p w14:paraId="21010000">
            <w:pPr>
              <w:ind/>
              <w:jc w:val="center"/>
            </w:pPr>
            <w:r>
              <w:t>0</w:t>
            </w:r>
          </w:p>
        </w:tc>
        <w:tc>
          <w:tcPr>
            <w:tcW w:type="dxa" w:w="1140"/>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center"/>
          </w:tcPr>
          <w:p w14:paraId="22010000">
            <w:pPr>
              <w:ind/>
              <w:jc w:val="center"/>
            </w:pPr>
            <w:r>
              <w:t>0</w:t>
            </w:r>
          </w:p>
        </w:tc>
      </w:tr>
      <w:tr>
        <w:trPr>
          <w:trHeight w:hRule="atLeast" w:val="632"/>
        </w:trPr>
        <w:tc>
          <w:tcPr>
            <w:tcW w:type="dxa" w:w="709"/>
            <w:vMerge w:val="restart"/>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center"/>
          </w:tcPr>
          <w:p w14:paraId="23010000">
            <w:pPr>
              <w:pStyle w:val="Style_2"/>
              <w:ind/>
              <w:jc w:val="center"/>
              <w:rPr/>
            </w:pPr>
            <w:r>
              <w:rPr/>
              <w:t>3</w:t>
            </w:r>
          </w:p>
        </w:tc>
        <w:tc>
          <w:tcPr>
            <w:tcW w:type="dxa" w:w="6987"/>
            <w:vMerge w:val="restart"/>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tcPr>
          <w:p w14:paraId="24010000">
            <w:pPr>
              <w:spacing w:line="240" w:lineRule="atLeast"/>
              <w:ind/>
              <w:rPr>
                <w:spacing w:val="-18"/>
                <w:sz w:val="24"/>
              </w:rPr>
            </w:pPr>
            <w:r>
              <w:rPr>
                <w:rFonts w:ascii="Times New Roman" w:hAnsi="Times New Roman"/>
                <w:sz w:val="24"/>
              </w:rPr>
              <w:t xml:space="preserve">Благоустройство общественной территории по адресам: Российская Федерация, Ростовская область, Белокалитвинский муниципальный район, Богураевское сельское поселение, </w:t>
            </w:r>
            <w:r>
              <w:rPr>
                <w:rFonts w:ascii="Times New Roman" w:hAnsi="Times New Roman"/>
                <w:sz w:val="24"/>
              </w:rPr>
              <w:br/>
            </w:r>
            <w:r>
              <w:rPr>
                <w:rFonts w:ascii="Times New Roman" w:hAnsi="Times New Roman"/>
                <w:sz w:val="24"/>
              </w:rPr>
              <w:t>х.</w:t>
            </w:r>
            <w:r>
              <w:rPr>
                <w:rFonts w:ascii="Times New Roman" w:hAnsi="Times New Roman"/>
                <w:sz w:val="24"/>
              </w:rPr>
              <w:t xml:space="preserve"> </w:t>
            </w:r>
            <w:r>
              <w:rPr>
                <w:rFonts w:ascii="Times New Roman" w:hAnsi="Times New Roman"/>
                <w:sz w:val="24"/>
              </w:rPr>
              <w:t xml:space="preserve">Богураев, </w:t>
            </w:r>
            <w:r>
              <w:rPr>
                <w:rFonts w:ascii="Times New Roman" w:hAnsi="Times New Roman"/>
                <w:sz w:val="24"/>
              </w:rPr>
              <w:t xml:space="preserve">ул. Заречная, земельный  участок </w:t>
            </w:r>
            <w:r>
              <w:rPr>
                <w:rFonts w:ascii="Times New Roman" w:hAnsi="Times New Roman"/>
                <w:sz w:val="24"/>
              </w:rPr>
              <w:t>№ 1 и Российская Федерация, Ростовская область, Белокалитвинский муниципальный район, Богураевское сельское поселение,</w:t>
            </w:r>
            <w:r>
              <w:rPr>
                <w:rFonts w:ascii="Times New Roman" w:hAnsi="Times New Roman"/>
                <w:sz w:val="24"/>
              </w:rPr>
              <w:t xml:space="preserve"> </w:t>
            </w:r>
          </w:p>
          <w:p w14:paraId="25010000">
            <w:pPr>
              <w:spacing w:line="240" w:lineRule="atLeast"/>
              <w:ind/>
              <w:rPr>
                <w:spacing w:val="-18"/>
                <w:sz w:val="24"/>
              </w:rPr>
            </w:pPr>
            <w:r>
              <w:rPr>
                <w:rFonts w:ascii="Times New Roman" w:hAnsi="Times New Roman"/>
                <w:sz w:val="24"/>
              </w:rPr>
              <w:t>х. Богураев,</w:t>
            </w:r>
            <w:r>
              <w:rPr>
                <w:rFonts w:ascii="Times New Roman" w:hAnsi="Times New Roman"/>
                <w:sz w:val="24"/>
              </w:rPr>
              <w:t xml:space="preserve"> </w:t>
            </w:r>
            <w:r>
              <w:rPr>
                <w:rFonts w:ascii="Times New Roman" w:hAnsi="Times New Roman"/>
                <w:sz w:val="24"/>
              </w:rPr>
              <w:t>ул. Заречная, земельный участок № 1 а</w:t>
            </w:r>
          </w:p>
        </w:tc>
        <w:tc>
          <w:tcPr>
            <w:tcW w:type="dxa" w:w="1698"/>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tcPr>
          <w:p w14:paraId="26010000">
            <w:pPr>
              <w:rPr/>
            </w:pPr>
            <w:r>
              <w:rPr/>
              <w:t>ВСЕГО</w:t>
            </w:r>
          </w:p>
        </w:tc>
        <w:tc>
          <w:tcPr>
            <w:tcW w:type="dxa" w:w="1413"/>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center"/>
          </w:tcPr>
          <w:p w14:paraId="27010000">
            <w:pPr>
              <w:ind/>
              <w:jc w:val="center"/>
              <w:rPr/>
            </w:pPr>
            <w:r>
              <w:rPr/>
              <w:t>0</w:t>
            </w:r>
          </w:p>
        </w:tc>
        <w:tc>
          <w:tcPr>
            <w:tcW w:type="dxa" w:w="1203"/>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center"/>
          </w:tcPr>
          <w:p w14:paraId="28010000">
            <w:pPr>
              <w:ind/>
              <w:jc w:val="center"/>
              <w:rPr/>
            </w:pPr>
            <w:r>
              <w:rPr/>
              <w:t>0</w:t>
            </w:r>
          </w:p>
        </w:tc>
        <w:tc>
          <w:tcPr>
            <w:tcW w:type="dxa" w:w="1092"/>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center"/>
          </w:tcPr>
          <w:p w14:paraId="29010000">
            <w:pPr>
              <w:ind/>
              <w:jc w:val="center"/>
              <w:rPr/>
            </w:pPr>
            <w:r>
              <w:rPr/>
              <w:t>0</w:t>
            </w:r>
          </w:p>
        </w:tc>
        <w:tc>
          <w:tcPr>
            <w:tcW w:type="dxa" w:w="1169"/>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center"/>
          </w:tcPr>
          <w:p w14:paraId="2A010000">
            <w:pPr>
              <w:ind/>
              <w:jc w:val="center"/>
              <w:rPr/>
            </w:pPr>
            <w:r>
              <w:rPr/>
              <w:t>0</w:t>
            </w:r>
          </w:p>
        </w:tc>
        <w:tc>
          <w:tcPr>
            <w:tcW w:type="dxa" w:w="1140"/>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center"/>
          </w:tcPr>
          <w:p w14:paraId="2B010000">
            <w:pPr>
              <w:ind/>
              <w:jc w:val="center"/>
              <w:rPr/>
            </w:pPr>
            <w:r>
              <w:rPr/>
              <w:t>0</w:t>
            </w:r>
          </w:p>
        </w:tc>
      </w:tr>
      <w:tr>
        <w:trPr>
          <w:trHeight w:hRule="atLeast" w:val="729"/>
        </w:trPr>
        <w:tc>
          <w:tcPr>
            <w:tcW w:type="dxa" w:w="709"/>
            <w:gridSpan w:val="1"/>
            <w:vMerge w:val="continue"/>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center"/>
          </w:tcPr>
          <w:p/>
        </w:tc>
        <w:tc>
          <w:tcPr>
            <w:tcW w:type="dxa" w:w="6987"/>
            <w:gridSpan w:val="1"/>
            <w:vMerge w:val="continue"/>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tcPr>
          <w:p/>
        </w:tc>
        <w:tc>
          <w:tcPr>
            <w:tcW w:type="dxa" w:w="1698"/>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tcPr>
          <w:p w14:paraId="2C010000">
            <w:pPr>
              <w:rPr/>
            </w:pPr>
            <w:r>
              <w:rPr/>
              <w:t>Федеральный</w:t>
            </w:r>
          </w:p>
        </w:tc>
        <w:tc>
          <w:tcPr>
            <w:tcW w:type="dxa" w:w="1413"/>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center"/>
          </w:tcPr>
          <w:p w14:paraId="2D010000">
            <w:pPr>
              <w:ind/>
              <w:jc w:val="center"/>
              <w:rPr/>
            </w:pPr>
            <w:r>
              <w:rPr/>
              <w:t>0</w:t>
            </w:r>
          </w:p>
        </w:tc>
        <w:tc>
          <w:tcPr>
            <w:tcW w:type="dxa" w:w="1203"/>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center"/>
          </w:tcPr>
          <w:p w14:paraId="2E010000">
            <w:pPr>
              <w:ind/>
              <w:jc w:val="center"/>
              <w:rPr/>
            </w:pPr>
            <w:r>
              <w:rPr/>
              <w:t>0</w:t>
            </w:r>
          </w:p>
        </w:tc>
        <w:tc>
          <w:tcPr>
            <w:tcW w:type="dxa" w:w="1092"/>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center"/>
          </w:tcPr>
          <w:p w14:paraId="2F010000">
            <w:pPr>
              <w:ind/>
              <w:jc w:val="center"/>
              <w:rPr/>
            </w:pPr>
            <w:r>
              <w:rPr/>
              <w:t>0</w:t>
            </w:r>
          </w:p>
        </w:tc>
        <w:tc>
          <w:tcPr>
            <w:tcW w:type="dxa" w:w="1169"/>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center"/>
          </w:tcPr>
          <w:p w14:paraId="30010000">
            <w:pPr>
              <w:ind/>
              <w:jc w:val="center"/>
              <w:rPr/>
            </w:pPr>
            <w:r>
              <w:rPr/>
              <w:t>0</w:t>
            </w:r>
          </w:p>
        </w:tc>
        <w:tc>
          <w:tcPr>
            <w:tcW w:type="dxa" w:w="1140"/>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center"/>
          </w:tcPr>
          <w:p w14:paraId="31010000">
            <w:pPr>
              <w:ind/>
              <w:jc w:val="center"/>
              <w:rPr/>
            </w:pPr>
            <w:r>
              <w:rPr/>
              <w:t>0</w:t>
            </w:r>
          </w:p>
        </w:tc>
      </w:tr>
      <w:tr>
        <w:trPr>
          <w:trHeight w:hRule="atLeast" w:val="233"/>
        </w:trPr>
        <w:tc>
          <w:tcPr>
            <w:tcW w:type="dxa" w:w="709"/>
            <w:gridSpan w:val="1"/>
            <w:vMerge w:val="continue"/>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center"/>
          </w:tcPr>
          <w:p/>
        </w:tc>
        <w:tc>
          <w:tcPr>
            <w:tcW w:type="dxa" w:w="6987"/>
            <w:gridSpan w:val="1"/>
            <w:vMerge w:val="continue"/>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tcPr>
          <w:p/>
        </w:tc>
        <w:tc>
          <w:tcPr>
            <w:tcW w:type="dxa" w:w="1698"/>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tcPr>
          <w:p w14:paraId="32010000">
            <w:pPr>
              <w:rPr/>
            </w:pPr>
            <w:r>
              <w:rPr/>
              <w:t>Областной</w:t>
            </w:r>
          </w:p>
        </w:tc>
        <w:tc>
          <w:tcPr>
            <w:tcW w:type="dxa" w:w="1413"/>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center"/>
          </w:tcPr>
          <w:p w14:paraId="33010000">
            <w:pPr>
              <w:ind/>
              <w:jc w:val="center"/>
              <w:rPr/>
            </w:pPr>
            <w:r>
              <w:rPr/>
              <w:t>0</w:t>
            </w:r>
          </w:p>
        </w:tc>
        <w:tc>
          <w:tcPr>
            <w:tcW w:type="dxa" w:w="1203"/>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center"/>
          </w:tcPr>
          <w:p w14:paraId="34010000">
            <w:pPr>
              <w:ind/>
              <w:jc w:val="center"/>
              <w:rPr/>
            </w:pPr>
            <w:r>
              <w:rPr/>
              <w:t>0</w:t>
            </w:r>
          </w:p>
        </w:tc>
        <w:tc>
          <w:tcPr>
            <w:tcW w:type="dxa" w:w="1092"/>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center"/>
          </w:tcPr>
          <w:p w14:paraId="35010000">
            <w:pPr>
              <w:ind/>
              <w:jc w:val="center"/>
              <w:rPr/>
            </w:pPr>
            <w:r>
              <w:rPr/>
              <w:t>0</w:t>
            </w:r>
          </w:p>
        </w:tc>
        <w:tc>
          <w:tcPr>
            <w:tcW w:type="dxa" w:w="1169"/>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center"/>
          </w:tcPr>
          <w:p w14:paraId="36010000">
            <w:pPr>
              <w:ind/>
              <w:jc w:val="center"/>
              <w:rPr/>
            </w:pPr>
            <w:r>
              <w:rPr/>
              <w:t>0</w:t>
            </w:r>
          </w:p>
        </w:tc>
        <w:tc>
          <w:tcPr>
            <w:tcW w:type="dxa" w:w="1140"/>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center"/>
          </w:tcPr>
          <w:p w14:paraId="37010000">
            <w:pPr>
              <w:ind/>
              <w:jc w:val="center"/>
              <w:rPr/>
            </w:pPr>
            <w:r>
              <w:rPr/>
              <w:t>0</w:t>
            </w:r>
          </w:p>
        </w:tc>
      </w:tr>
      <w:tr>
        <w:trPr>
          <w:trHeight w:hRule="atLeast" w:val="361"/>
        </w:trPr>
        <w:tc>
          <w:tcPr>
            <w:tcW w:type="dxa" w:w="709"/>
            <w:vMerge w:val="restart"/>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center"/>
          </w:tcPr>
          <w:p w14:paraId="38010000">
            <w:pPr>
              <w:pStyle w:val="Style_2"/>
              <w:ind/>
              <w:jc w:val="center"/>
            </w:pPr>
            <w:r>
              <w:t>4</w:t>
            </w:r>
          </w:p>
        </w:tc>
        <w:tc>
          <w:tcPr>
            <w:tcW w:type="dxa" w:w="6987"/>
            <w:vMerge w:val="restart"/>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tcPr>
          <w:p w14:paraId="39010000">
            <w:pPr>
              <w:spacing w:line="240" w:lineRule="atLeast"/>
              <w:ind/>
              <w:rPr>
                <w:spacing w:val="-18"/>
                <w:sz w:val="24"/>
              </w:rPr>
            </w:pPr>
            <w:r>
              <w:rPr>
                <w:rFonts w:ascii="Times New Roman" w:hAnsi="Times New Roman"/>
                <w:sz w:val="24"/>
              </w:rPr>
              <w:t xml:space="preserve">Благоустройство земельного участка, расположенного по адресу: Российская Федерация, Ростовская область, Белокалитвинский муниципальный район, </w:t>
            </w:r>
            <w:r>
              <w:rPr>
                <w:rFonts w:ascii="Times New Roman" w:hAnsi="Times New Roman"/>
                <w:sz w:val="24"/>
              </w:rPr>
              <w:t xml:space="preserve">ст-ца Краснодонецкая,  </w:t>
            </w:r>
            <w:r>
              <w:rPr>
                <w:rFonts w:ascii="Times New Roman" w:hAnsi="Times New Roman"/>
                <w:sz w:val="24"/>
              </w:rPr>
              <w:t>ул. Центральная, земельный участок № 16 а</w:t>
            </w:r>
          </w:p>
        </w:tc>
        <w:tc>
          <w:tcPr>
            <w:tcW w:type="dxa" w:w="1698"/>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tcPr>
          <w:p w14:paraId="3A010000">
            <w:r>
              <w:t>ВСЕГО</w:t>
            </w:r>
          </w:p>
        </w:tc>
        <w:tc>
          <w:tcPr>
            <w:tcW w:type="dxa" w:w="1413"/>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center"/>
          </w:tcPr>
          <w:p w14:paraId="3B010000">
            <w:pPr>
              <w:ind/>
              <w:jc w:val="center"/>
            </w:pPr>
            <w:r>
              <w:t>0</w:t>
            </w:r>
          </w:p>
        </w:tc>
        <w:tc>
          <w:tcPr>
            <w:tcW w:type="dxa" w:w="1203"/>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center"/>
          </w:tcPr>
          <w:p w14:paraId="3C010000">
            <w:pPr>
              <w:ind/>
              <w:jc w:val="center"/>
            </w:pPr>
            <w:r>
              <w:t>0</w:t>
            </w:r>
          </w:p>
        </w:tc>
        <w:tc>
          <w:tcPr>
            <w:tcW w:type="dxa" w:w="1092"/>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center"/>
          </w:tcPr>
          <w:p w14:paraId="3D010000">
            <w:pPr>
              <w:ind/>
              <w:jc w:val="center"/>
            </w:pPr>
            <w:r>
              <w:t>0</w:t>
            </w:r>
          </w:p>
        </w:tc>
        <w:tc>
          <w:tcPr>
            <w:tcW w:type="dxa" w:w="1169"/>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center"/>
          </w:tcPr>
          <w:p w14:paraId="3E010000">
            <w:pPr>
              <w:ind/>
              <w:jc w:val="center"/>
            </w:pPr>
            <w:r>
              <w:t>0</w:t>
            </w:r>
          </w:p>
        </w:tc>
        <w:tc>
          <w:tcPr>
            <w:tcW w:type="dxa" w:w="1140"/>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center"/>
          </w:tcPr>
          <w:p w14:paraId="3F010000">
            <w:pPr>
              <w:ind/>
              <w:jc w:val="center"/>
            </w:pPr>
            <w:r>
              <w:t>0</w:t>
            </w:r>
          </w:p>
        </w:tc>
      </w:tr>
      <w:tr>
        <w:trPr>
          <w:trHeight w:hRule="atLeast" w:val="386"/>
        </w:trPr>
        <w:tc>
          <w:tcPr>
            <w:tcW w:type="dxa" w:w="709"/>
            <w:gridSpan w:val="1"/>
            <w:vMerge w:val="continue"/>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center"/>
          </w:tcPr>
          <w:p/>
        </w:tc>
        <w:tc>
          <w:tcPr>
            <w:tcW w:type="dxa" w:w="6987"/>
            <w:gridSpan w:val="1"/>
            <w:vMerge w:val="continue"/>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tcPr>
          <w:p/>
        </w:tc>
        <w:tc>
          <w:tcPr>
            <w:tcW w:type="dxa" w:w="1698"/>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tcPr>
          <w:p w14:paraId="40010000">
            <w:r>
              <w:t>Федеральный</w:t>
            </w:r>
          </w:p>
        </w:tc>
        <w:tc>
          <w:tcPr>
            <w:tcW w:type="dxa" w:w="1413"/>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center"/>
          </w:tcPr>
          <w:p w14:paraId="41010000">
            <w:pPr>
              <w:ind/>
              <w:jc w:val="center"/>
            </w:pPr>
            <w:r>
              <w:t>0</w:t>
            </w:r>
          </w:p>
        </w:tc>
        <w:tc>
          <w:tcPr>
            <w:tcW w:type="dxa" w:w="1203"/>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center"/>
          </w:tcPr>
          <w:p w14:paraId="42010000">
            <w:pPr>
              <w:ind/>
              <w:jc w:val="center"/>
            </w:pPr>
            <w:r>
              <w:t>0</w:t>
            </w:r>
          </w:p>
        </w:tc>
        <w:tc>
          <w:tcPr>
            <w:tcW w:type="dxa" w:w="1092"/>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center"/>
          </w:tcPr>
          <w:p w14:paraId="43010000">
            <w:pPr>
              <w:ind/>
              <w:jc w:val="center"/>
            </w:pPr>
            <w:r>
              <w:t>0</w:t>
            </w:r>
          </w:p>
        </w:tc>
        <w:tc>
          <w:tcPr>
            <w:tcW w:type="dxa" w:w="1169"/>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center"/>
          </w:tcPr>
          <w:p w14:paraId="44010000">
            <w:pPr>
              <w:ind/>
              <w:jc w:val="center"/>
            </w:pPr>
            <w:r>
              <w:t>0</w:t>
            </w:r>
          </w:p>
        </w:tc>
        <w:tc>
          <w:tcPr>
            <w:tcW w:type="dxa" w:w="1140"/>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center"/>
          </w:tcPr>
          <w:p w14:paraId="45010000">
            <w:pPr>
              <w:ind/>
              <w:jc w:val="center"/>
            </w:pPr>
            <w:r>
              <w:t>0</w:t>
            </w:r>
          </w:p>
        </w:tc>
      </w:tr>
      <w:tr>
        <w:trPr>
          <w:trHeight w:hRule="atLeast" w:val="233"/>
        </w:trPr>
        <w:tc>
          <w:tcPr>
            <w:tcW w:type="dxa" w:w="709"/>
            <w:gridSpan w:val="1"/>
            <w:vMerge w:val="continue"/>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center"/>
          </w:tcPr>
          <w:p/>
        </w:tc>
        <w:tc>
          <w:tcPr>
            <w:tcW w:type="dxa" w:w="6987"/>
            <w:gridSpan w:val="1"/>
            <w:vMerge w:val="continue"/>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tcPr>
          <w:p/>
        </w:tc>
        <w:tc>
          <w:tcPr>
            <w:tcW w:type="dxa" w:w="1698"/>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tcPr>
          <w:p w14:paraId="46010000">
            <w:r>
              <w:t>Областной</w:t>
            </w:r>
          </w:p>
        </w:tc>
        <w:tc>
          <w:tcPr>
            <w:tcW w:type="dxa" w:w="1413"/>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center"/>
          </w:tcPr>
          <w:p w14:paraId="47010000">
            <w:pPr>
              <w:ind/>
              <w:jc w:val="center"/>
            </w:pPr>
            <w:r>
              <w:t>0</w:t>
            </w:r>
          </w:p>
        </w:tc>
        <w:tc>
          <w:tcPr>
            <w:tcW w:type="dxa" w:w="1203"/>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center"/>
          </w:tcPr>
          <w:p w14:paraId="48010000">
            <w:pPr>
              <w:ind/>
              <w:jc w:val="center"/>
            </w:pPr>
            <w:r>
              <w:t>0</w:t>
            </w:r>
          </w:p>
        </w:tc>
        <w:tc>
          <w:tcPr>
            <w:tcW w:type="dxa" w:w="1092"/>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center"/>
          </w:tcPr>
          <w:p w14:paraId="49010000">
            <w:pPr>
              <w:ind/>
              <w:jc w:val="center"/>
            </w:pPr>
            <w:r>
              <w:t>0</w:t>
            </w:r>
          </w:p>
        </w:tc>
        <w:tc>
          <w:tcPr>
            <w:tcW w:type="dxa" w:w="1169"/>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center"/>
          </w:tcPr>
          <w:p w14:paraId="4A010000">
            <w:pPr>
              <w:ind/>
              <w:jc w:val="center"/>
            </w:pPr>
            <w:r>
              <w:t>0</w:t>
            </w:r>
          </w:p>
        </w:tc>
        <w:tc>
          <w:tcPr>
            <w:tcW w:type="dxa" w:w="1140"/>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center"/>
          </w:tcPr>
          <w:p w14:paraId="4B010000">
            <w:pPr>
              <w:ind/>
              <w:jc w:val="center"/>
            </w:pPr>
            <w:r>
              <w:t>0</w:t>
            </w:r>
          </w:p>
        </w:tc>
      </w:tr>
      <w:tr>
        <w:trPr>
          <w:trHeight w:hRule="atLeast" w:val="384"/>
        </w:trPr>
        <w:tc>
          <w:tcPr>
            <w:tcW w:type="dxa" w:w="709"/>
            <w:vMerge w:val="restart"/>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center"/>
          </w:tcPr>
          <w:p w14:paraId="4C010000">
            <w:pPr>
              <w:pStyle w:val="Style_2"/>
              <w:ind/>
              <w:jc w:val="center"/>
            </w:pPr>
            <w:r>
              <w:t xml:space="preserve"> 5</w:t>
            </w:r>
          </w:p>
        </w:tc>
        <w:tc>
          <w:tcPr>
            <w:tcW w:type="dxa" w:w="6987"/>
            <w:vMerge w:val="restart"/>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tcPr>
          <w:p w14:paraId="4D010000">
            <w:pPr>
              <w:pStyle w:val="Style_2"/>
            </w:pPr>
            <w:r>
              <w:t>Общественная территория</w:t>
            </w:r>
          </w:p>
        </w:tc>
        <w:tc>
          <w:tcPr>
            <w:tcW w:type="dxa" w:w="1698"/>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tcPr>
          <w:p w14:paraId="4E010000">
            <w:r>
              <w:t>ВСЕГО</w:t>
            </w:r>
          </w:p>
        </w:tc>
        <w:tc>
          <w:tcPr>
            <w:tcW w:type="dxa" w:w="1413"/>
            <w:tcBorders>
              <w:top w:color="000000" w:sz="6" w:val="single"/>
              <w:left w:color="000000" w:sz="4" w:val="single"/>
              <w:bottom w:color="000000" w:sz="4" w:val="single"/>
              <w:right w:color="000000" w:sz="4" w:val="single"/>
            </w:tcBorders>
            <w:tcMar>
              <w:top w:type="dxa" w:w="0"/>
              <w:left w:type="dxa" w:w="108"/>
              <w:bottom w:type="dxa" w:w="0"/>
              <w:right w:type="dxa" w:w="108"/>
            </w:tcMar>
            <w:vAlign w:val="center"/>
          </w:tcPr>
          <w:p w14:paraId="4F010000">
            <w:pPr>
              <w:ind/>
              <w:jc w:val="center"/>
            </w:pPr>
            <w:r>
              <w:t>10 479,0</w:t>
            </w:r>
          </w:p>
        </w:tc>
        <w:tc>
          <w:tcPr>
            <w:tcW w:type="dxa" w:w="1203"/>
            <w:tcBorders>
              <w:top w:color="000000" w:sz="6" w:val="single"/>
              <w:left w:color="000000" w:sz="4" w:val="single"/>
              <w:bottom w:color="000000" w:sz="4" w:val="single"/>
              <w:right w:color="000000" w:sz="4" w:val="single"/>
            </w:tcBorders>
            <w:shd w:fill="auto" w:val="clear"/>
            <w:tcMar>
              <w:top w:type="dxa" w:w="0"/>
              <w:left w:type="dxa" w:w="108"/>
              <w:bottom w:type="dxa" w:w="0"/>
              <w:right w:type="dxa" w:w="108"/>
            </w:tcMar>
            <w:vAlign w:val="center"/>
          </w:tcPr>
          <w:p w14:paraId="50010000">
            <w:pPr>
              <w:ind/>
              <w:jc w:val="center"/>
            </w:pPr>
            <w:r>
              <w:t>0</w:t>
            </w:r>
          </w:p>
        </w:tc>
        <w:tc>
          <w:tcPr>
            <w:tcW w:type="dxa" w:w="1092"/>
            <w:tcBorders>
              <w:top w:color="000000" w:sz="6" w:val="single"/>
              <w:left w:color="000000" w:sz="4" w:val="single"/>
              <w:bottom w:color="000000" w:sz="4" w:val="single"/>
              <w:right w:color="000000" w:sz="4" w:val="single"/>
            </w:tcBorders>
            <w:shd w:fill="auto" w:val="clear"/>
            <w:tcMar>
              <w:top w:type="dxa" w:w="0"/>
              <w:left w:type="dxa" w:w="108"/>
              <w:bottom w:type="dxa" w:w="0"/>
              <w:right w:type="dxa" w:w="108"/>
            </w:tcMar>
            <w:vAlign w:val="center"/>
          </w:tcPr>
          <w:p w14:paraId="51010000">
            <w:pPr>
              <w:ind/>
              <w:jc w:val="center"/>
            </w:pPr>
            <w:r>
              <w:t>0</w:t>
            </w:r>
          </w:p>
        </w:tc>
        <w:tc>
          <w:tcPr>
            <w:tcW w:type="dxa" w:w="1169"/>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52010000">
            <w:pPr>
              <w:ind/>
              <w:jc w:val="center"/>
            </w:pPr>
            <w:r>
              <w:t>10 479,0</w:t>
            </w:r>
          </w:p>
        </w:tc>
        <w:tc>
          <w:tcPr>
            <w:tcW w:type="dxa" w:w="1140"/>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53010000">
            <w:pPr>
              <w:ind/>
              <w:jc w:val="center"/>
            </w:pPr>
            <w:r>
              <w:t>0</w:t>
            </w:r>
          </w:p>
        </w:tc>
      </w:tr>
      <w:tr>
        <w:trPr>
          <w:trHeight w:hRule="atLeast" w:val="396"/>
        </w:trPr>
        <w:tc>
          <w:tcPr>
            <w:tcW w:type="dxa" w:w="709"/>
            <w:gridSpan w:val="1"/>
            <w:vMerge w:val="continue"/>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center"/>
          </w:tcPr>
          <w:p/>
        </w:tc>
        <w:tc>
          <w:tcPr>
            <w:tcW w:type="dxa" w:w="6987"/>
            <w:gridSpan w:val="1"/>
            <w:vMerge w:val="continue"/>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tcPr>
          <w:p/>
        </w:tc>
        <w:tc>
          <w:tcPr>
            <w:tcW w:type="dxa" w:w="1698"/>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tcPr>
          <w:p w14:paraId="54010000">
            <w:r>
              <w:t>Федеральный</w:t>
            </w:r>
          </w:p>
        </w:tc>
        <w:tc>
          <w:tcPr>
            <w:tcW w:type="dxa" w:w="1413"/>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55010000">
            <w:pPr>
              <w:ind/>
              <w:jc w:val="center"/>
            </w:pPr>
            <w:r>
              <w:t>10 164,6</w:t>
            </w:r>
          </w:p>
        </w:tc>
        <w:tc>
          <w:tcPr>
            <w:tcW w:type="dxa" w:w="1203"/>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center"/>
          </w:tcPr>
          <w:p w14:paraId="56010000">
            <w:pPr>
              <w:ind/>
              <w:jc w:val="center"/>
            </w:pPr>
            <w:r>
              <w:t>0</w:t>
            </w:r>
          </w:p>
        </w:tc>
        <w:tc>
          <w:tcPr>
            <w:tcW w:type="dxa" w:w="1092"/>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center"/>
          </w:tcPr>
          <w:p w14:paraId="57010000">
            <w:pPr>
              <w:ind/>
              <w:jc w:val="center"/>
            </w:pPr>
            <w:r>
              <w:t>0</w:t>
            </w:r>
          </w:p>
        </w:tc>
        <w:tc>
          <w:tcPr>
            <w:tcW w:type="dxa" w:w="1169"/>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58010000">
            <w:pPr>
              <w:ind/>
              <w:jc w:val="center"/>
            </w:pPr>
            <w:r>
              <w:t>10 164,6</w:t>
            </w:r>
          </w:p>
        </w:tc>
        <w:tc>
          <w:tcPr>
            <w:tcW w:type="dxa" w:w="1140"/>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59010000">
            <w:pPr>
              <w:ind/>
              <w:jc w:val="center"/>
            </w:pPr>
            <w:r>
              <w:t>0</w:t>
            </w:r>
          </w:p>
        </w:tc>
      </w:tr>
      <w:tr>
        <w:trPr>
          <w:trHeight w:hRule="atLeast" w:val="364"/>
        </w:trPr>
        <w:tc>
          <w:tcPr>
            <w:tcW w:type="dxa" w:w="709"/>
            <w:gridSpan w:val="1"/>
            <w:vMerge w:val="continue"/>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center"/>
          </w:tcPr>
          <w:p/>
        </w:tc>
        <w:tc>
          <w:tcPr>
            <w:tcW w:type="dxa" w:w="6987"/>
            <w:gridSpan w:val="1"/>
            <w:vMerge w:val="continue"/>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tcPr>
          <w:p/>
        </w:tc>
        <w:tc>
          <w:tcPr>
            <w:tcW w:type="dxa" w:w="1698"/>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tcPr>
          <w:p w14:paraId="5A010000">
            <w:r>
              <w:t>Областной</w:t>
            </w:r>
          </w:p>
        </w:tc>
        <w:tc>
          <w:tcPr>
            <w:tcW w:type="dxa" w:w="1413"/>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5B010000">
            <w:pPr>
              <w:ind/>
              <w:jc w:val="center"/>
            </w:pPr>
            <w:r>
              <w:t>314,4</w:t>
            </w:r>
          </w:p>
        </w:tc>
        <w:tc>
          <w:tcPr>
            <w:tcW w:type="dxa" w:w="1203"/>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center"/>
          </w:tcPr>
          <w:p w14:paraId="5C010000">
            <w:pPr>
              <w:ind/>
              <w:jc w:val="center"/>
            </w:pPr>
            <w:r>
              <w:t>0</w:t>
            </w:r>
          </w:p>
        </w:tc>
        <w:tc>
          <w:tcPr>
            <w:tcW w:type="dxa" w:w="1092"/>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center"/>
          </w:tcPr>
          <w:p w14:paraId="5D010000">
            <w:pPr>
              <w:ind/>
              <w:jc w:val="center"/>
            </w:pPr>
            <w:r>
              <w:t>0</w:t>
            </w:r>
          </w:p>
        </w:tc>
        <w:tc>
          <w:tcPr>
            <w:tcW w:type="dxa" w:w="1169"/>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5E010000">
            <w:pPr>
              <w:ind/>
              <w:jc w:val="center"/>
            </w:pPr>
            <w:r>
              <w:t>314,4</w:t>
            </w:r>
          </w:p>
        </w:tc>
        <w:tc>
          <w:tcPr>
            <w:tcW w:type="dxa" w:w="1140"/>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5F010000">
            <w:pPr>
              <w:ind/>
              <w:jc w:val="center"/>
            </w:pPr>
            <w:r>
              <w:t>0</w:t>
            </w:r>
          </w:p>
        </w:tc>
      </w:tr>
      <w:tr>
        <w:trPr>
          <w:trHeight w:hRule="atLeast" w:val="343"/>
        </w:trPr>
        <w:tc>
          <w:tcPr>
            <w:tcW w:type="dxa" w:w="709"/>
            <w:vMerge w:val="restart"/>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center"/>
          </w:tcPr>
          <w:p w14:paraId="60010000">
            <w:pPr>
              <w:ind/>
              <w:jc w:val="center"/>
            </w:pPr>
            <w:r>
              <w:t>6</w:t>
            </w:r>
          </w:p>
        </w:tc>
        <w:tc>
          <w:tcPr>
            <w:tcW w:type="dxa" w:w="6987"/>
            <w:vMerge w:val="restart"/>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tcPr>
          <w:p w14:paraId="61010000">
            <w:pPr>
              <w:pStyle w:val="Style_2"/>
            </w:pPr>
            <w:r>
              <w:t>Общественная территория</w:t>
            </w:r>
          </w:p>
        </w:tc>
        <w:tc>
          <w:tcPr>
            <w:tcW w:type="dxa" w:w="1698"/>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tcPr>
          <w:p w14:paraId="62010000">
            <w:r>
              <w:t>ВСЕГО</w:t>
            </w:r>
          </w:p>
        </w:tc>
        <w:tc>
          <w:tcPr>
            <w:tcW w:type="dxa" w:w="1413"/>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63010000">
            <w:pPr>
              <w:ind/>
              <w:jc w:val="center"/>
            </w:pPr>
            <w:r>
              <w:t>10 761,2</w:t>
            </w:r>
          </w:p>
        </w:tc>
        <w:tc>
          <w:tcPr>
            <w:tcW w:type="dxa" w:w="1203"/>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center"/>
          </w:tcPr>
          <w:p w14:paraId="64010000">
            <w:pPr>
              <w:ind/>
              <w:jc w:val="center"/>
            </w:pPr>
            <w:r>
              <w:t>0</w:t>
            </w:r>
          </w:p>
        </w:tc>
        <w:tc>
          <w:tcPr>
            <w:tcW w:type="dxa" w:w="1092"/>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center"/>
          </w:tcPr>
          <w:p w14:paraId="65010000">
            <w:pPr>
              <w:ind/>
              <w:jc w:val="center"/>
            </w:pPr>
            <w:r>
              <w:t>0</w:t>
            </w:r>
          </w:p>
        </w:tc>
        <w:tc>
          <w:tcPr>
            <w:tcW w:type="dxa" w:w="1169"/>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66010000">
            <w:pPr>
              <w:ind/>
              <w:jc w:val="center"/>
            </w:pPr>
            <w:r>
              <w:t>0</w:t>
            </w:r>
          </w:p>
        </w:tc>
        <w:tc>
          <w:tcPr>
            <w:tcW w:type="dxa" w:w="1140"/>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67010000">
            <w:pPr>
              <w:ind/>
              <w:jc w:val="center"/>
            </w:pPr>
            <w:r>
              <w:t>10 761,2</w:t>
            </w:r>
          </w:p>
        </w:tc>
      </w:tr>
      <w:tr>
        <w:trPr>
          <w:trHeight w:hRule="atLeast" w:val="364"/>
        </w:trPr>
        <w:tc>
          <w:tcPr>
            <w:tcW w:type="dxa" w:w="709"/>
            <w:gridSpan w:val="1"/>
            <w:vMerge w:val="continue"/>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center"/>
          </w:tcPr>
          <w:p/>
        </w:tc>
        <w:tc>
          <w:tcPr>
            <w:tcW w:type="dxa" w:w="6987"/>
            <w:gridSpan w:val="1"/>
            <w:vMerge w:val="continue"/>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tcPr>
          <w:p/>
        </w:tc>
        <w:tc>
          <w:tcPr>
            <w:tcW w:type="dxa" w:w="1698"/>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tcPr>
          <w:p w14:paraId="68010000">
            <w:r>
              <w:t>Федеральный</w:t>
            </w:r>
          </w:p>
        </w:tc>
        <w:tc>
          <w:tcPr>
            <w:tcW w:type="dxa" w:w="1413"/>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69010000">
            <w:pPr>
              <w:ind/>
              <w:jc w:val="center"/>
            </w:pPr>
            <w:r>
              <w:t>10 438,3</w:t>
            </w:r>
          </w:p>
        </w:tc>
        <w:tc>
          <w:tcPr>
            <w:tcW w:type="dxa" w:w="1203"/>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center"/>
          </w:tcPr>
          <w:p w14:paraId="6A010000">
            <w:pPr>
              <w:ind/>
              <w:jc w:val="center"/>
            </w:pPr>
            <w:r>
              <w:t>0</w:t>
            </w:r>
          </w:p>
        </w:tc>
        <w:tc>
          <w:tcPr>
            <w:tcW w:type="dxa" w:w="1092"/>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center"/>
          </w:tcPr>
          <w:p w14:paraId="6B010000">
            <w:pPr>
              <w:ind/>
              <w:jc w:val="center"/>
            </w:pPr>
            <w:r>
              <w:t>0</w:t>
            </w:r>
          </w:p>
        </w:tc>
        <w:tc>
          <w:tcPr>
            <w:tcW w:type="dxa" w:w="1169"/>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6C010000">
            <w:pPr>
              <w:ind/>
              <w:jc w:val="center"/>
            </w:pPr>
            <w:r>
              <w:t>0</w:t>
            </w:r>
          </w:p>
        </w:tc>
        <w:tc>
          <w:tcPr>
            <w:tcW w:type="dxa" w:w="1140"/>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6D010000">
            <w:pPr>
              <w:ind/>
              <w:jc w:val="center"/>
            </w:pPr>
            <w:r>
              <w:t>10 438,3</w:t>
            </w:r>
          </w:p>
        </w:tc>
      </w:tr>
      <w:tr>
        <w:trPr>
          <w:trHeight w:hRule="atLeast" w:val="343"/>
        </w:trPr>
        <w:tc>
          <w:tcPr>
            <w:tcW w:type="dxa" w:w="709"/>
            <w:gridSpan w:val="1"/>
            <w:vMerge w:val="continue"/>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center"/>
          </w:tcPr>
          <w:p/>
        </w:tc>
        <w:tc>
          <w:tcPr>
            <w:tcW w:type="dxa" w:w="6987"/>
            <w:gridSpan w:val="1"/>
            <w:vMerge w:val="continue"/>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tcPr>
          <w:p/>
        </w:tc>
        <w:tc>
          <w:tcPr>
            <w:tcW w:type="dxa" w:w="1698"/>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tcPr>
          <w:p w14:paraId="6E010000">
            <w:r>
              <w:t>Областной</w:t>
            </w:r>
          </w:p>
        </w:tc>
        <w:tc>
          <w:tcPr>
            <w:tcW w:type="dxa" w:w="1413"/>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6F010000">
            <w:pPr>
              <w:ind/>
              <w:jc w:val="center"/>
            </w:pPr>
            <w:r>
              <w:t>322,9</w:t>
            </w:r>
          </w:p>
        </w:tc>
        <w:tc>
          <w:tcPr>
            <w:tcW w:type="dxa" w:w="1203"/>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center"/>
          </w:tcPr>
          <w:p w14:paraId="70010000">
            <w:pPr>
              <w:ind/>
              <w:jc w:val="center"/>
            </w:pPr>
            <w:r>
              <w:t>0</w:t>
            </w:r>
          </w:p>
        </w:tc>
        <w:tc>
          <w:tcPr>
            <w:tcW w:type="dxa" w:w="1092"/>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center"/>
          </w:tcPr>
          <w:p w14:paraId="71010000">
            <w:pPr>
              <w:ind/>
              <w:jc w:val="center"/>
            </w:pPr>
            <w:r>
              <w:t>0</w:t>
            </w:r>
          </w:p>
        </w:tc>
        <w:tc>
          <w:tcPr>
            <w:tcW w:type="dxa" w:w="1169"/>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72010000">
            <w:pPr>
              <w:ind/>
              <w:jc w:val="center"/>
            </w:pPr>
            <w:r>
              <w:t>0</w:t>
            </w:r>
          </w:p>
        </w:tc>
        <w:tc>
          <w:tcPr>
            <w:tcW w:type="dxa" w:w="1140"/>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73010000">
            <w:pPr>
              <w:ind/>
              <w:jc w:val="center"/>
            </w:pPr>
            <w:r>
              <w:t>322,9</w:t>
            </w:r>
          </w:p>
        </w:tc>
      </w:tr>
      <w:tr>
        <w:trPr>
          <w:trHeight w:hRule="atLeast" w:val="386"/>
        </w:trPr>
        <w:tc>
          <w:tcPr>
            <w:tcW w:type="dxa" w:w="709"/>
            <w:vMerge w:val="restart"/>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center"/>
          </w:tcPr>
          <w:p w14:paraId="74010000">
            <w:pPr>
              <w:ind/>
              <w:jc w:val="center"/>
            </w:pPr>
            <w:r>
              <w:t>7</w:t>
            </w:r>
          </w:p>
        </w:tc>
        <w:tc>
          <w:tcPr>
            <w:tcW w:type="dxa" w:w="6987"/>
            <w:vMerge w:val="restart"/>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tcPr>
          <w:p w14:paraId="75010000">
            <w:r>
              <w:t xml:space="preserve">Приобретение детского игрового оборудования, спортивного оборудования, малых архитектурных форм для последующей установки, а также </w:t>
            </w:r>
            <w:r>
              <w:t>приобретение материалов резинового покрытия для дальнейшей укладки на детских площадках</w:t>
            </w:r>
            <w:r>
              <w:t>:</w:t>
            </w:r>
          </w:p>
        </w:tc>
        <w:tc>
          <w:tcPr>
            <w:tcW w:type="dxa" w:w="1698"/>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tcPr>
          <w:p w14:paraId="76010000">
            <w:r>
              <w:t>ВСЕГО</w:t>
            </w:r>
          </w:p>
        </w:tc>
        <w:tc>
          <w:tcPr>
            <w:tcW w:type="dxa" w:w="1413"/>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77010000">
            <w:pPr>
              <w:spacing w:line="240" w:lineRule="atLeast"/>
              <w:ind/>
              <w:jc w:val="center"/>
            </w:pPr>
            <w:r>
              <w:t>42 655,8</w:t>
            </w:r>
          </w:p>
        </w:tc>
        <w:tc>
          <w:tcPr>
            <w:tcW w:type="dxa" w:w="1203"/>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78010000">
            <w:pPr>
              <w:ind/>
              <w:jc w:val="center"/>
            </w:pPr>
            <w:r>
              <w:t>12 655,8</w:t>
            </w:r>
          </w:p>
        </w:tc>
        <w:tc>
          <w:tcPr>
            <w:tcW w:type="dxa" w:w="1092"/>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center"/>
          </w:tcPr>
          <w:p w14:paraId="79010000">
            <w:pPr>
              <w:ind/>
              <w:jc w:val="center"/>
            </w:pPr>
            <w:r>
              <w:t>0</w:t>
            </w:r>
          </w:p>
        </w:tc>
        <w:tc>
          <w:tcPr>
            <w:tcW w:type="dxa" w:w="1169"/>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7A010000">
            <w:pPr>
              <w:ind/>
              <w:jc w:val="center"/>
            </w:pPr>
            <w:r>
              <w:t>13 500,0</w:t>
            </w:r>
          </w:p>
        </w:tc>
        <w:tc>
          <w:tcPr>
            <w:tcW w:type="dxa" w:w="1140"/>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7B010000">
            <w:pPr>
              <w:ind/>
              <w:jc w:val="center"/>
            </w:pPr>
            <w:r>
              <w:t>13 500,0</w:t>
            </w:r>
          </w:p>
        </w:tc>
      </w:tr>
      <w:tr>
        <w:trPr>
          <w:trHeight w:hRule="atLeast" w:val="364"/>
        </w:trPr>
        <w:tc>
          <w:tcPr>
            <w:tcW w:type="dxa" w:w="709"/>
            <w:gridSpan w:val="1"/>
            <w:vMerge w:val="continue"/>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center"/>
          </w:tcPr>
          <w:p/>
        </w:tc>
        <w:tc>
          <w:tcPr>
            <w:tcW w:type="dxa" w:w="6987"/>
            <w:gridSpan w:val="1"/>
            <w:vMerge w:val="continue"/>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tcPr>
          <w:p/>
        </w:tc>
        <w:tc>
          <w:tcPr>
            <w:tcW w:type="dxa" w:w="1698"/>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tcPr>
          <w:p w14:paraId="7C010000">
            <w:r>
              <w:t>Федеральный</w:t>
            </w:r>
          </w:p>
        </w:tc>
        <w:tc>
          <w:tcPr>
            <w:tcW w:type="dxa" w:w="1413"/>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7D010000">
            <w:pPr>
              <w:ind/>
              <w:jc w:val="center"/>
            </w:pPr>
            <w:r>
              <w:t>0</w:t>
            </w:r>
          </w:p>
        </w:tc>
        <w:tc>
          <w:tcPr>
            <w:tcW w:type="dxa" w:w="1203"/>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7E010000">
            <w:pPr>
              <w:ind/>
              <w:jc w:val="center"/>
            </w:pPr>
            <w:r>
              <w:t>0</w:t>
            </w:r>
          </w:p>
        </w:tc>
        <w:tc>
          <w:tcPr>
            <w:tcW w:type="dxa" w:w="1092"/>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center"/>
          </w:tcPr>
          <w:p w14:paraId="7F010000">
            <w:pPr>
              <w:ind/>
              <w:jc w:val="center"/>
            </w:pPr>
            <w:r>
              <w:t>0</w:t>
            </w:r>
          </w:p>
        </w:tc>
        <w:tc>
          <w:tcPr>
            <w:tcW w:type="dxa" w:w="1169"/>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80010000">
            <w:pPr>
              <w:ind/>
              <w:jc w:val="center"/>
            </w:pPr>
            <w:r>
              <w:t>0</w:t>
            </w:r>
          </w:p>
        </w:tc>
        <w:tc>
          <w:tcPr>
            <w:tcW w:type="dxa" w:w="1140"/>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81010000">
            <w:pPr>
              <w:ind/>
              <w:jc w:val="center"/>
            </w:pPr>
            <w:r>
              <w:t>0</w:t>
            </w:r>
          </w:p>
        </w:tc>
      </w:tr>
      <w:tr>
        <w:trPr>
          <w:trHeight w:hRule="atLeast" w:val="200"/>
        </w:trPr>
        <w:tc>
          <w:tcPr>
            <w:tcW w:type="dxa" w:w="709"/>
            <w:gridSpan w:val="1"/>
            <w:vMerge w:val="continue"/>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center"/>
          </w:tcPr>
          <w:p/>
        </w:tc>
        <w:tc>
          <w:tcPr>
            <w:tcW w:type="dxa" w:w="6987"/>
            <w:gridSpan w:val="1"/>
            <w:vMerge w:val="continue"/>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tcPr>
          <w:p/>
        </w:tc>
        <w:tc>
          <w:tcPr>
            <w:tcW w:type="dxa" w:w="1698"/>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tcPr>
          <w:p w14:paraId="82010000">
            <w:r>
              <w:t>Областной</w:t>
            </w:r>
          </w:p>
        </w:tc>
        <w:tc>
          <w:tcPr>
            <w:tcW w:type="dxa" w:w="1413"/>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83010000">
            <w:pPr>
              <w:ind/>
              <w:jc w:val="center"/>
            </w:pPr>
            <w:r>
              <w:t>42 655,8</w:t>
            </w:r>
          </w:p>
        </w:tc>
        <w:tc>
          <w:tcPr>
            <w:tcW w:type="dxa" w:w="1203"/>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84010000">
            <w:pPr>
              <w:ind/>
              <w:jc w:val="center"/>
            </w:pPr>
            <w:r>
              <w:t>12 655,8</w:t>
            </w:r>
          </w:p>
        </w:tc>
        <w:tc>
          <w:tcPr>
            <w:tcW w:type="dxa" w:w="1092"/>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center"/>
          </w:tcPr>
          <w:p w14:paraId="85010000">
            <w:pPr>
              <w:ind/>
              <w:jc w:val="center"/>
            </w:pPr>
            <w:r>
              <w:t>0</w:t>
            </w:r>
          </w:p>
        </w:tc>
        <w:tc>
          <w:tcPr>
            <w:tcW w:type="dxa" w:w="1169"/>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86010000">
            <w:pPr>
              <w:ind/>
              <w:jc w:val="center"/>
            </w:pPr>
            <w:r>
              <w:t>13 500,0</w:t>
            </w:r>
          </w:p>
        </w:tc>
        <w:tc>
          <w:tcPr>
            <w:tcW w:type="dxa" w:w="1140"/>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87010000">
            <w:pPr>
              <w:ind/>
              <w:jc w:val="center"/>
            </w:pPr>
            <w:r>
              <w:t>13 500,0</w:t>
            </w:r>
          </w:p>
        </w:tc>
      </w:tr>
      <w:tr>
        <w:trPr>
          <w:trHeight w:hRule="atLeast" w:val="332"/>
        </w:trPr>
        <w:tc>
          <w:tcPr>
            <w:tcW w:type="dxa" w:w="709"/>
            <w:vMerge w:val="restart"/>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center"/>
          </w:tcPr>
          <w:p w14:paraId="88010000">
            <w:pPr>
              <w:ind/>
              <w:jc w:val="center"/>
            </w:pPr>
            <w:r>
              <w:t>7.1</w:t>
            </w:r>
          </w:p>
        </w:tc>
        <w:tc>
          <w:tcPr>
            <w:tcW w:type="dxa" w:w="6987"/>
            <w:vMerge w:val="restart"/>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tcPr>
          <w:p w14:paraId="89010000">
            <w:r>
              <w:t xml:space="preserve">Примерно на расстоянии 18,0 м по направлению на </w:t>
            </w:r>
            <w:r>
              <w:t>северо-восток от ориентира: Ростовская обл., г Белая Калитва, ул. Л.Толстого,3-в</w:t>
            </w:r>
          </w:p>
        </w:tc>
        <w:tc>
          <w:tcPr>
            <w:tcW w:type="dxa" w:w="1698"/>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tcPr>
          <w:p w14:paraId="8A010000">
            <w:r>
              <w:t>ВСЕГО</w:t>
            </w:r>
          </w:p>
        </w:tc>
        <w:tc>
          <w:tcPr>
            <w:tcW w:type="dxa" w:w="1413"/>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8B010000">
            <w:pPr>
              <w:ind/>
              <w:jc w:val="center"/>
            </w:pPr>
            <w:r>
              <w:t>3 460,2</w:t>
            </w:r>
          </w:p>
        </w:tc>
        <w:tc>
          <w:tcPr>
            <w:tcW w:type="dxa" w:w="1203"/>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8C010000">
            <w:pPr>
              <w:ind/>
              <w:jc w:val="center"/>
            </w:pPr>
            <w:r>
              <w:t>3 460,2</w:t>
            </w:r>
          </w:p>
        </w:tc>
        <w:tc>
          <w:tcPr>
            <w:tcW w:type="dxa" w:w="1092"/>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center"/>
          </w:tcPr>
          <w:p w14:paraId="8D010000">
            <w:pPr>
              <w:ind/>
              <w:jc w:val="center"/>
            </w:pPr>
            <w:r>
              <w:t>0</w:t>
            </w:r>
          </w:p>
        </w:tc>
        <w:tc>
          <w:tcPr>
            <w:tcW w:type="dxa" w:w="1169"/>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8E010000">
            <w:pPr>
              <w:ind/>
              <w:jc w:val="center"/>
            </w:pPr>
            <w:r>
              <w:t>0</w:t>
            </w:r>
          </w:p>
        </w:tc>
        <w:tc>
          <w:tcPr>
            <w:tcW w:type="dxa" w:w="1140"/>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8F010000">
            <w:pPr>
              <w:ind/>
              <w:jc w:val="center"/>
            </w:pPr>
            <w:r>
              <w:t>0</w:t>
            </w:r>
          </w:p>
        </w:tc>
      </w:tr>
      <w:tr>
        <w:trPr>
          <w:trHeight w:hRule="atLeast" w:val="407"/>
        </w:trPr>
        <w:tc>
          <w:tcPr>
            <w:tcW w:type="dxa" w:w="709"/>
            <w:gridSpan w:val="1"/>
            <w:vMerge w:val="continue"/>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center"/>
          </w:tcPr>
          <w:p/>
        </w:tc>
        <w:tc>
          <w:tcPr>
            <w:tcW w:type="dxa" w:w="6987"/>
            <w:gridSpan w:val="1"/>
            <w:vMerge w:val="continue"/>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tcPr>
          <w:p/>
        </w:tc>
        <w:tc>
          <w:tcPr>
            <w:tcW w:type="dxa" w:w="1698"/>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tcPr>
          <w:p w14:paraId="90010000">
            <w:r>
              <w:t>Федеральный</w:t>
            </w:r>
          </w:p>
        </w:tc>
        <w:tc>
          <w:tcPr>
            <w:tcW w:type="dxa" w:w="1413"/>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91010000">
            <w:pPr>
              <w:ind/>
              <w:jc w:val="center"/>
            </w:pPr>
            <w:r>
              <w:t>0</w:t>
            </w:r>
          </w:p>
        </w:tc>
        <w:tc>
          <w:tcPr>
            <w:tcW w:type="dxa" w:w="1203"/>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92010000">
            <w:pPr>
              <w:ind/>
              <w:jc w:val="center"/>
            </w:pPr>
            <w:r>
              <w:t>0</w:t>
            </w:r>
          </w:p>
        </w:tc>
        <w:tc>
          <w:tcPr>
            <w:tcW w:type="dxa" w:w="1092"/>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center"/>
          </w:tcPr>
          <w:p w14:paraId="93010000">
            <w:pPr>
              <w:ind/>
              <w:jc w:val="center"/>
            </w:pPr>
            <w:r>
              <w:t>0</w:t>
            </w:r>
          </w:p>
        </w:tc>
        <w:tc>
          <w:tcPr>
            <w:tcW w:type="dxa" w:w="1169"/>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94010000">
            <w:pPr>
              <w:ind/>
              <w:jc w:val="center"/>
            </w:pPr>
            <w:r>
              <w:t>0</w:t>
            </w:r>
          </w:p>
        </w:tc>
        <w:tc>
          <w:tcPr>
            <w:tcW w:type="dxa" w:w="1140"/>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95010000">
            <w:pPr>
              <w:ind/>
              <w:jc w:val="center"/>
            </w:pPr>
            <w:r>
              <w:t>0</w:t>
            </w:r>
          </w:p>
        </w:tc>
      </w:tr>
      <w:tr>
        <w:trPr>
          <w:trHeight w:hRule="atLeast" w:val="386"/>
        </w:trPr>
        <w:tc>
          <w:tcPr>
            <w:tcW w:type="dxa" w:w="709"/>
            <w:gridSpan w:val="1"/>
            <w:vMerge w:val="continue"/>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center"/>
          </w:tcPr>
          <w:p/>
        </w:tc>
        <w:tc>
          <w:tcPr>
            <w:tcW w:type="dxa" w:w="6987"/>
            <w:gridSpan w:val="1"/>
            <w:vMerge w:val="continue"/>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tcPr>
          <w:p/>
        </w:tc>
        <w:tc>
          <w:tcPr>
            <w:tcW w:type="dxa" w:w="1698"/>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tcPr>
          <w:p w14:paraId="96010000">
            <w:r>
              <w:t>Областной</w:t>
            </w:r>
          </w:p>
        </w:tc>
        <w:tc>
          <w:tcPr>
            <w:tcW w:type="dxa" w:w="1413"/>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97010000">
            <w:pPr>
              <w:ind/>
              <w:jc w:val="center"/>
            </w:pPr>
            <w:r>
              <w:t>3 460,2</w:t>
            </w:r>
          </w:p>
        </w:tc>
        <w:tc>
          <w:tcPr>
            <w:tcW w:type="dxa" w:w="1203"/>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98010000">
            <w:pPr>
              <w:ind/>
              <w:jc w:val="center"/>
            </w:pPr>
            <w:r>
              <w:t>3 460,2</w:t>
            </w:r>
          </w:p>
        </w:tc>
        <w:tc>
          <w:tcPr>
            <w:tcW w:type="dxa" w:w="1092"/>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center"/>
          </w:tcPr>
          <w:p w14:paraId="99010000">
            <w:pPr>
              <w:ind/>
              <w:jc w:val="center"/>
            </w:pPr>
            <w:r>
              <w:t>0</w:t>
            </w:r>
          </w:p>
        </w:tc>
        <w:tc>
          <w:tcPr>
            <w:tcW w:type="dxa" w:w="1169"/>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9A010000">
            <w:pPr>
              <w:ind/>
              <w:jc w:val="center"/>
            </w:pPr>
            <w:r>
              <w:t>0</w:t>
            </w:r>
          </w:p>
        </w:tc>
        <w:tc>
          <w:tcPr>
            <w:tcW w:type="dxa" w:w="1140"/>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9B010000">
            <w:pPr>
              <w:ind/>
              <w:jc w:val="center"/>
            </w:pPr>
            <w:r>
              <w:t>0</w:t>
            </w:r>
          </w:p>
        </w:tc>
      </w:tr>
      <w:tr>
        <w:trPr>
          <w:trHeight w:hRule="atLeast" w:val="321"/>
        </w:trPr>
        <w:tc>
          <w:tcPr>
            <w:tcW w:type="dxa" w:w="709"/>
            <w:vMerge w:val="restart"/>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center"/>
          </w:tcPr>
          <w:p w14:paraId="9C010000">
            <w:pPr>
              <w:ind/>
              <w:jc w:val="center"/>
            </w:pPr>
            <w:r>
              <w:t>7.2</w:t>
            </w:r>
          </w:p>
        </w:tc>
        <w:tc>
          <w:tcPr>
            <w:tcW w:type="dxa" w:w="6987"/>
            <w:vMerge w:val="restart"/>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tcPr>
          <w:p w14:paraId="9D010000">
            <w:r>
              <w:t xml:space="preserve">Примерно на расстоянии 22,0 м по направлению на запад от ориентира: Ростовская </w:t>
            </w:r>
            <w:r>
              <w:t>обл</w:t>
            </w:r>
            <w:r>
              <w:t xml:space="preserve">, г. </w:t>
            </w:r>
            <w:r>
              <w:t>Белая Калитва, ул. Российская, 54</w:t>
            </w:r>
          </w:p>
        </w:tc>
        <w:tc>
          <w:tcPr>
            <w:tcW w:type="dxa" w:w="1698"/>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tcPr>
          <w:p w14:paraId="9E010000">
            <w:r>
              <w:t>ВСЕГО</w:t>
            </w:r>
          </w:p>
        </w:tc>
        <w:tc>
          <w:tcPr>
            <w:tcW w:type="dxa" w:w="1413"/>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9F010000">
            <w:pPr>
              <w:ind/>
              <w:jc w:val="center"/>
            </w:pPr>
            <w:r>
              <w:t>3 981,6</w:t>
            </w:r>
          </w:p>
        </w:tc>
        <w:tc>
          <w:tcPr>
            <w:tcW w:type="dxa" w:w="1203"/>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A0010000">
            <w:pPr>
              <w:ind/>
              <w:jc w:val="center"/>
            </w:pPr>
            <w:r>
              <w:t>3 981,6</w:t>
            </w:r>
          </w:p>
        </w:tc>
        <w:tc>
          <w:tcPr>
            <w:tcW w:type="dxa" w:w="1092"/>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center"/>
          </w:tcPr>
          <w:p w14:paraId="A1010000">
            <w:pPr>
              <w:ind/>
              <w:jc w:val="center"/>
            </w:pPr>
            <w:r>
              <w:t>0</w:t>
            </w:r>
          </w:p>
        </w:tc>
        <w:tc>
          <w:tcPr>
            <w:tcW w:type="dxa" w:w="1169"/>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A2010000">
            <w:pPr>
              <w:ind/>
              <w:jc w:val="center"/>
            </w:pPr>
            <w:r>
              <w:t>0</w:t>
            </w:r>
          </w:p>
        </w:tc>
        <w:tc>
          <w:tcPr>
            <w:tcW w:type="dxa" w:w="1140"/>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A3010000">
            <w:pPr>
              <w:ind/>
              <w:jc w:val="center"/>
            </w:pPr>
            <w:r>
              <w:t>0</w:t>
            </w:r>
          </w:p>
        </w:tc>
      </w:tr>
      <w:tr>
        <w:trPr>
          <w:trHeight w:hRule="atLeast" w:val="321"/>
        </w:trPr>
        <w:tc>
          <w:tcPr>
            <w:tcW w:type="dxa" w:w="709"/>
            <w:gridSpan w:val="1"/>
            <w:vMerge w:val="continue"/>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center"/>
          </w:tcPr>
          <w:p/>
        </w:tc>
        <w:tc>
          <w:tcPr>
            <w:tcW w:type="dxa" w:w="6987"/>
            <w:gridSpan w:val="1"/>
            <w:vMerge w:val="continue"/>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tcPr>
          <w:p/>
        </w:tc>
        <w:tc>
          <w:tcPr>
            <w:tcW w:type="dxa" w:w="1698"/>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tcPr>
          <w:p w14:paraId="A4010000">
            <w:r>
              <w:t>Федеральный</w:t>
            </w:r>
          </w:p>
        </w:tc>
        <w:tc>
          <w:tcPr>
            <w:tcW w:type="dxa" w:w="1413"/>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A5010000">
            <w:pPr>
              <w:ind/>
              <w:jc w:val="center"/>
            </w:pPr>
            <w:r>
              <w:t>0</w:t>
            </w:r>
          </w:p>
        </w:tc>
        <w:tc>
          <w:tcPr>
            <w:tcW w:type="dxa" w:w="1203"/>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A6010000">
            <w:pPr>
              <w:ind/>
              <w:jc w:val="center"/>
            </w:pPr>
            <w:r>
              <w:t>0</w:t>
            </w:r>
          </w:p>
        </w:tc>
        <w:tc>
          <w:tcPr>
            <w:tcW w:type="dxa" w:w="1092"/>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center"/>
          </w:tcPr>
          <w:p w14:paraId="A7010000">
            <w:pPr>
              <w:ind/>
              <w:jc w:val="center"/>
            </w:pPr>
            <w:r>
              <w:t>0</w:t>
            </w:r>
          </w:p>
        </w:tc>
        <w:tc>
          <w:tcPr>
            <w:tcW w:type="dxa" w:w="1169"/>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A8010000">
            <w:pPr>
              <w:ind/>
              <w:jc w:val="center"/>
            </w:pPr>
            <w:r>
              <w:t>0</w:t>
            </w:r>
          </w:p>
        </w:tc>
        <w:tc>
          <w:tcPr>
            <w:tcW w:type="dxa" w:w="1140"/>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A9010000">
            <w:pPr>
              <w:ind/>
              <w:jc w:val="center"/>
            </w:pPr>
            <w:r>
              <w:t>0</w:t>
            </w:r>
          </w:p>
        </w:tc>
      </w:tr>
      <w:tr>
        <w:trPr>
          <w:trHeight w:hRule="atLeast" w:val="386"/>
        </w:trPr>
        <w:tc>
          <w:tcPr>
            <w:tcW w:type="dxa" w:w="709"/>
            <w:gridSpan w:val="1"/>
            <w:vMerge w:val="continue"/>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center"/>
          </w:tcPr>
          <w:p/>
        </w:tc>
        <w:tc>
          <w:tcPr>
            <w:tcW w:type="dxa" w:w="6987"/>
            <w:gridSpan w:val="1"/>
            <w:vMerge w:val="continue"/>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tcPr>
          <w:p/>
        </w:tc>
        <w:tc>
          <w:tcPr>
            <w:tcW w:type="dxa" w:w="1698"/>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tcPr>
          <w:p w14:paraId="AA010000">
            <w:r>
              <w:t>Областной</w:t>
            </w:r>
          </w:p>
        </w:tc>
        <w:tc>
          <w:tcPr>
            <w:tcW w:type="dxa" w:w="1413"/>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AB010000">
            <w:pPr>
              <w:ind/>
              <w:jc w:val="center"/>
            </w:pPr>
            <w:r>
              <w:t>3 981,6</w:t>
            </w:r>
          </w:p>
        </w:tc>
        <w:tc>
          <w:tcPr>
            <w:tcW w:type="dxa" w:w="1203"/>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AC010000">
            <w:pPr>
              <w:ind/>
              <w:jc w:val="center"/>
            </w:pPr>
            <w:r>
              <w:t>3 981,6</w:t>
            </w:r>
          </w:p>
        </w:tc>
        <w:tc>
          <w:tcPr>
            <w:tcW w:type="dxa" w:w="1092"/>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center"/>
          </w:tcPr>
          <w:p w14:paraId="AD010000">
            <w:pPr>
              <w:ind/>
              <w:jc w:val="center"/>
            </w:pPr>
            <w:r>
              <w:t>0</w:t>
            </w:r>
          </w:p>
        </w:tc>
        <w:tc>
          <w:tcPr>
            <w:tcW w:type="dxa" w:w="1169"/>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AE010000">
            <w:pPr>
              <w:ind/>
              <w:jc w:val="center"/>
            </w:pPr>
            <w:r>
              <w:t>0</w:t>
            </w:r>
          </w:p>
        </w:tc>
        <w:tc>
          <w:tcPr>
            <w:tcW w:type="dxa" w:w="1140"/>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AF010000">
            <w:pPr>
              <w:ind/>
              <w:jc w:val="center"/>
            </w:pPr>
            <w:r>
              <w:t>0</w:t>
            </w:r>
          </w:p>
        </w:tc>
      </w:tr>
      <w:tr>
        <w:trPr>
          <w:trHeight w:hRule="atLeast" w:val="321"/>
        </w:trPr>
        <w:tc>
          <w:tcPr>
            <w:tcW w:type="dxa" w:w="709"/>
            <w:vMerge w:val="restart"/>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center"/>
          </w:tcPr>
          <w:p w14:paraId="B0010000">
            <w:pPr>
              <w:ind/>
              <w:jc w:val="center"/>
            </w:pPr>
            <w:r>
              <w:t>7.3</w:t>
            </w:r>
          </w:p>
        </w:tc>
        <w:tc>
          <w:tcPr>
            <w:tcW w:type="dxa" w:w="6987"/>
            <w:vMerge w:val="restart"/>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tcPr>
          <w:p w14:paraId="B1010000">
            <w:r>
              <w:t xml:space="preserve">Ростовская область, Белокалитвинский р-н, г. Белая Калитва, расположенном примерно на расстоянии 23,0 м по направлению на восток от </w:t>
            </w:r>
            <w:r>
              <w:t xml:space="preserve">ориентира: многоквартирный жилой дом по </w:t>
            </w:r>
            <w:r>
              <w:br/>
            </w:r>
            <w:r>
              <w:t>ул. Энгельса, 39</w:t>
            </w:r>
          </w:p>
        </w:tc>
        <w:tc>
          <w:tcPr>
            <w:tcW w:type="dxa" w:w="1698"/>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tcPr>
          <w:p w14:paraId="B2010000">
            <w:r>
              <w:t>ВСЕГО</w:t>
            </w:r>
          </w:p>
        </w:tc>
        <w:tc>
          <w:tcPr>
            <w:tcW w:type="dxa" w:w="1413"/>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B3010000">
            <w:pPr>
              <w:ind/>
              <w:jc w:val="center"/>
            </w:pPr>
            <w:r>
              <w:t>3 981,6</w:t>
            </w:r>
          </w:p>
        </w:tc>
        <w:tc>
          <w:tcPr>
            <w:tcW w:type="dxa" w:w="1203"/>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B4010000">
            <w:pPr>
              <w:ind/>
              <w:jc w:val="center"/>
            </w:pPr>
            <w:r>
              <w:t>3 981,6</w:t>
            </w:r>
          </w:p>
        </w:tc>
        <w:tc>
          <w:tcPr>
            <w:tcW w:type="dxa" w:w="1092"/>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center"/>
          </w:tcPr>
          <w:p w14:paraId="B5010000">
            <w:pPr>
              <w:ind/>
              <w:jc w:val="center"/>
            </w:pPr>
            <w:r>
              <w:t>0</w:t>
            </w:r>
          </w:p>
        </w:tc>
        <w:tc>
          <w:tcPr>
            <w:tcW w:type="dxa" w:w="1169"/>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B6010000">
            <w:pPr>
              <w:ind/>
              <w:jc w:val="center"/>
            </w:pPr>
            <w:r>
              <w:t>0</w:t>
            </w:r>
          </w:p>
        </w:tc>
        <w:tc>
          <w:tcPr>
            <w:tcW w:type="dxa" w:w="1140"/>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B7010000">
            <w:pPr>
              <w:ind/>
              <w:jc w:val="center"/>
            </w:pPr>
            <w:r>
              <w:t>0</w:t>
            </w:r>
          </w:p>
        </w:tc>
      </w:tr>
      <w:tr>
        <w:trPr>
          <w:trHeight w:hRule="atLeast" w:val="321"/>
        </w:trPr>
        <w:tc>
          <w:tcPr>
            <w:tcW w:type="dxa" w:w="709"/>
            <w:gridSpan w:val="1"/>
            <w:vMerge w:val="continue"/>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center"/>
          </w:tcPr>
          <w:p/>
        </w:tc>
        <w:tc>
          <w:tcPr>
            <w:tcW w:type="dxa" w:w="6987"/>
            <w:gridSpan w:val="1"/>
            <w:vMerge w:val="continue"/>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tcPr>
          <w:p/>
        </w:tc>
        <w:tc>
          <w:tcPr>
            <w:tcW w:type="dxa" w:w="1698"/>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tcPr>
          <w:p w14:paraId="B8010000">
            <w:r>
              <w:t>Федеральный</w:t>
            </w:r>
          </w:p>
        </w:tc>
        <w:tc>
          <w:tcPr>
            <w:tcW w:type="dxa" w:w="1413"/>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B9010000">
            <w:pPr>
              <w:ind/>
              <w:jc w:val="center"/>
            </w:pPr>
            <w:r>
              <w:t>0</w:t>
            </w:r>
          </w:p>
        </w:tc>
        <w:tc>
          <w:tcPr>
            <w:tcW w:type="dxa" w:w="1203"/>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BA010000">
            <w:pPr>
              <w:ind/>
              <w:jc w:val="center"/>
            </w:pPr>
            <w:r>
              <w:t>0</w:t>
            </w:r>
          </w:p>
        </w:tc>
        <w:tc>
          <w:tcPr>
            <w:tcW w:type="dxa" w:w="1092"/>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center"/>
          </w:tcPr>
          <w:p w14:paraId="BB010000">
            <w:pPr>
              <w:ind/>
              <w:jc w:val="center"/>
            </w:pPr>
            <w:r>
              <w:t>0</w:t>
            </w:r>
          </w:p>
        </w:tc>
        <w:tc>
          <w:tcPr>
            <w:tcW w:type="dxa" w:w="1169"/>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BC010000">
            <w:pPr>
              <w:ind/>
              <w:jc w:val="center"/>
            </w:pPr>
            <w:r>
              <w:t>0</w:t>
            </w:r>
          </w:p>
        </w:tc>
        <w:tc>
          <w:tcPr>
            <w:tcW w:type="dxa" w:w="1140"/>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BD010000">
            <w:pPr>
              <w:ind/>
              <w:jc w:val="center"/>
            </w:pPr>
            <w:r>
              <w:t>0</w:t>
            </w:r>
          </w:p>
        </w:tc>
      </w:tr>
      <w:tr>
        <w:trPr>
          <w:trHeight w:hRule="atLeast" w:val="272"/>
        </w:trPr>
        <w:tc>
          <w:tcPr>
            <w:tcW w:type="dxa" w:w="709"/>
            <w:gridSpan w:val="1"/>
            <w:vMerge w:val="continue"/>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center"/>
          </w:tcPr>
          <w:p/>
        </w:tc>
        <w:tc>
          <w:tcPr>
            <w:tcW w:type="dxa" w:w="6987"/>
            <w:gridSpan w:val="1"/>
            <w:vMerge w:val="continue"/>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tcPr>
          <w:p/>
        </w:tc>
        <w:tc>
          <w:tcPr>
            <w:tcW w:type="dxa" w:w="1698"/>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tcPr>
          <w:p w14:paraId="BE010000">
            <w:r>
              <w:t>Областной</w:t>
            </w:r>
          </w:p>
        </w:tc>
        <w:tc>
          <w:tcPr>
            <w:tcW w:type="dxa" w:w="1413"/>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BF010000">
            <w:pPr>
              <w:ind/>
              <w:jc w:val="center"/>
            </w:pPr>
            <w:r>
              <w:t>3 981,6</w:t>
            </w:r>
          </w:p>
        </w:tc>
        <w:tc>
          <w:tcPr>
            <w:tcW w:type="dxa" w:w="1203"/>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C0010000">
            <w:pPr>
              <w:ind/>
              <w:jc w:val="center"/>
            </w:pPr>
            <w:r>
              <w:t>3 981,6</w:t>
            </w:r>
          </w:p>
        </w:tc>
        <w:tc>
          <w:tcPr>
            <w:tcW w:type="dxa" w:w="1092"/>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center"/>
          </w:tcPr>
          <w:p w14:paraId="C1010000">
            <w:pPr>
              <w:ind/>
              <w:jc w:val="center"/>
            </w:pPr>
            <w:r>
              <w:t>0</w:t>
            </w:r>
          </w:p>
        </w:tc>
        <w:tc>
          <w:tcPr>
            <w:tcW w:type="dxa" w:w="1169"/>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C2010000">
            <w:pPr>
              <w:ind/>
              <w:jc w:val="center"/>
            </w:pPr>
            <w:r>
              <w:t>0</w:t>
            </w:r>
          </w:p>
        </w:tc>
        <w:tc>
          <w:tcPr>
            <w:tcW w:type="dxa" w:w="1140"/>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C3010000">
            <w:pPr>
              <w:ind/>
              <w:jc w:val="center"/>
            </w:pPr>
            <w:r>
              <w:t>0</w:t>
            </w:r>
          </w:p>
        </w:tc>
      </w:tr>
      <w:tr>
        <w:trPr>
          <w:trHeight w:hRule="atLeast" w:val="298"/>
        </w:trPr>
        <w:tc>
          <w:tcPr>
            <w:tcW w:type="dxa" w:w="709"/>
            <w:vMerge w:val="restart"/>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center"/>
          </w:tcPr>
          <w:p w14:paraId="C4010000">
            <w:pPr>
              <w:pStyle w:val="Style_2"/>
              <w:ind/>
              <w:jc w:val="center"/>
            </w:pPr>
            <w:r>
              <w:t>7.4</w:t>
            </w:r>
          </w:p>
        </w:tc>
        <w:tc>
          <w:tcPr>
            <w:tcW w:type="dxa" w:w="6987"/>
            <w:vMerge w:val="restart"/>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tcPr>
          <w:p w14:paraId="C5010000">
            <w:pPr>
              <w:pStyle w:val="Style_2"/>
            </w:pPr>
            <w:r>
              <w:t xml:space="preserve">Российская Федерация, Ростовская область, Белокалитвинский р-н, </w:t>
            </w:r>
            <w:r>
              <w:t xml:space="preserve">г. Белая Калитва, Белокалитвинское городское </w:t>
            </w:r>
            <w:r>
              <w:t>поселение,</w:t>
            </w:r>
            <w:r>
              <w:br/>
            </w:r>
            <w:r>
              <w:t>ул. Энтузиастов</w:t>
            </w:r>
          </w:p>
        </w:tc>
        <w:tc>
          <w:tcPr>
            <w:tcW w:type="dxa" w:w="1698"/>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tcPr>
          <w:p w14:paraId="C6010000">
            <w:r>
              <w:t>ВСЕГО</w:t>
            </w:r>
          </w:p>
        </w:tc>
        <w:tc>
          <w:tcPr>
            <w:tcW w:type="dxa" w:w="1413"/>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C7010000">
            <w:pPr>
              <w:ind/>
              <w:jc w:val="center"/>
            </w:pPr>
            <w:r>
              <w:t>1 232,4</w:t>
            </w:r>
          </w:p>
        </w:tc>
        <w:tc>
          <w:tcPr>
            <w:tcW w:type="dxa" w:w="1203"/>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C8010000">
            <w:pPr>
              <w:ind/>
              <w:jc w:val="center"/>
            </w:pPr>
            <w:r>
              <w:t>1 232,4</w:t>
            </w:r>
          </w:p>
        </w:tc>
        <w:tc>
          <w:tcPr>
            <w:tcW w:type="dxa" w:w="1092"/>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center"/>
          </w:tcPr>
          <w:p w14:paraId="C9010000">
            <w:pPr>
              <w:ind/>
              <w:jc w:val="center"/>
            </w:pPr>
            <w:r>
              <w:t>0</w:t>
            </w:r>
          </w:p>
        </w:tc>
        <w:tc>
          <w:tcPr>
            <w:tcW w:type="dxa" w:w="1169"/>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CA010000">
            <w:pPr>
              <w:ind/>
              <w:jc w:val="center"/>
            </w:pPr>
            <w:r>
              <w:t>0</w:t>
            </w:r>
          </w:p>
        </w:tc>
        <w:tc>
          <w:tcPr>
            <w:tcW w:type="dxa" w:w="1140"/>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CB010000">
            <w:pPr>
              <w:ind/>
              <w:jc w:val="center"/>
            </w:pPr>
            <w:r>
              <w:t>0</w:t>
            </w:r>
          </w:p>
        </w:tc>
      </w:tr>
      <w:tr>
        <w:trPr>
          <w:trHeight w:hRule="atLeast" w:val="306"/>
        </w:trPr>
        <w:tc>
          <w:tcPr>
            <w:tcW w:type="dxa" w:w="709"/>
            <w:gridSpan w:val="1"/>
            <w:vMerge w:val="continue"/>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center"/>
          </w:tcPr>
          <w:p/>
        </w:tc>
        <w:tc>
          <w:tcPr>
            <w:tcW w:type="dxa" w:w="6987"/>
            <w:gridSpan w:val="1"/>
            <w:vMerge w:val="continue"/>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tcPr>
          <w:p/>
        </w:tc>
        <w:tc>
          <w:tcPr>
            <w:tcW w:type="dxa" w:w="1698"/>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tcPr>
          <w:p w14:paraId="CC010000">
            <w:r>
              <w:t>Федеральный</w:t>
            </w:r>
          </w:p>
        </w:tc>
        <w:tc>
          <w:tcPr>
            <w:tcW w:type="dxa" w:w="1413"/>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CD010000">
            <w:pPr>
              <w:ind/>
              <w:jc w:val="center"/>
            </w:pPr>
            <w:r>
              <w:t>0</w:t>
            </w:r>
          </w:p>
        </w:tc>
        <w:tc>
          <w:tcPr>
            <w:tcW w:type="dxa" w:w="1203"/>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CE010000">
            <w:pPr>
              <w:ind/>
              <w:jc w:val="center"/>
            </w:pPr>
            <w:r>
              <w:t>0</w:t>
            </w:r>
          </w:p>
        </w:tc>
        <w:tc>
          <w:tcPr>
            <w:tcW w:type="dxa" w:w="1092"/>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center"/>
          </w:tcPr>
          <w:p w14:paraId="CF010000">
            <w:pPr>
              <w:ind/>
              <w:jc w:val="center"/>
            </w:pPr>
            <w:r>
              <w:t>0</w:t>
            </w:r>
          </w:p>
        </w:tc>
        <w:tc>
          <w:tcPr>
            <w:tcW w:type="dxa" w:w="1169"/>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D0010000">
            <w:pPr>
              <w:ind/>
              <w:jc w:val="center"/>
            </w:pPr>
            <w:r>
              <w:t>0</w:t>
            </w:r>
          </w:p>
        </w:tc>
        <w:tc>
          <w:tcPr>
            <w:tcW w:type="dxa" w:w="1140"/>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D1010000">
            <w:pPr>
              <w:ind/>
              <w:jc w:val="center"/>
            </w:pPr>
            <w:r>
              <w:t>0</w:t>
            </w:r>
          </w:p>
        </w:tc>
      </w:tr>
      <w:tr>
        <w:trPr>
          <w:trHeight w:hRule="atLeast" w:val="328"/>
        </w:trPr>
        <w:tc>
          <w:tcPr>
            <w:tcW w:type="dxa" w:w="709"/>
            <w:gridSpan w:val="1"/>
            <w:vMerge w:val="continue"/>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center"/>
          </w:tcPr>
          <w:p/>
        </w:tc>
        <w:tc>
          <w:tcPr>
            <w:tcW w:type="dxa" w:w="6987"/>
            <w:gridSpan w:val="1"/>
            <w:vMerge w:val="continue"/>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tcPr>
          <w:p/>
        </w:tc>
        <w:tc>
          <w:tcPr>
            <w:tcW w:type="dxa" w:w="1698"/>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tcPr>
          <w:p w14:paraId="D2010000">
            <w:r>
              <w:t>Областной</w:t>
            </w:r>
          </w:p>
        </w:tc>
        <w:tc>
          <w:tcPr>
            <w:tcW w:type="dxa" w:w="1413"/>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D3010000">
            <w:pPr>
              <w:ind/>
              <w:jc w:val="center"/>
            </w:pPr>
            <w:r>
              <w:t>1 232,4</w:t>
            </w:r>
          </w:p>
        </w:tc>
        <w:tc>
          <w:tcPr>
            <w:tcW w:type="dxa" w:w="1203"/>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D4010000">
            <w:pPr>
              <w:ind/>
              <w:jc w:val="center"/>
            </w:pPr>
            <w:r>
              <w:t>1 232,4</w:t>
            </w:r>
          </w:p>
        </w:tc>
        <w:tc>
          <w:tcPr>
            <w:tcW w:type="dxa" w:w="1092"/>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center"/>
          </w:tcPr>
          <w:p w14:paraId="D5010000">
            <w:pPr>
              <w:ind/>
              <w:jc w:val="center"/>
            </w:pPr>
            <w:r>
              <w:t>0</w:t>
            </w:r>
          </w:p>
        </w:tc>
        <w:tc>
          <w:tcPr>
            <w:tcW w:type="dxa" w:w="1169"/>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D6010000">
            <w:pPr>
              <w:ind/>
              <w:jc w:val="center"/>
            </w:pPr>
            <w:r>
              <w:t>0</w:t>
            </w:r>
          </w:p>
        </w:tc>
        <w:tc>
          <w:tcPr>
            <w:tcW w:type="dxa" w:w="1140"/>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D7010000">
            <w:pPr>
              <w:ind/>
              <w:jc w:val="center"/>
            </w:pPr>
            <w:r>
              <w:t>0</w:t>
            </w:r>
          </w:p>
        </w:tc>
      </w:tr>
      <w:tr>
        <w:trPr>
          <w:trHeight w:hRule="atLeast" w:val="183"/>
        </w:trPr>
        <w:tc>
          <w:tcPr>
            <w:tcW w:type="dxa" w:w="709"/>
            <w:vMerge w:val="restart"/>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center"/>
          </w:tcPr>
          <w:p w14:paraId="D8010000">
            <w:pPr>
              <w:pStyle w:val="Style_2"/>
              <w:ind/>
              <w:jc w:val="center"/>
            </w:pPr>
            <w:r>
              <w:t>8</w:t>
            </w:r>
          </w:p>
        </w:tc>
        <w:tc>
          <w:tcPr>
            <w:tcW w:type="dxa" w:w="6987"/>
            <w:vMerge w:val="restart"/>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tcPr>
          <w:p w14:paraId="D9010000">
            <w:r>
              <w:t xml:space="preserve">Благоустройство земельного участка по адресу: Российская Федерация, Ростовская область, Белокалитвинский муниципальный район, Белокалитвинское городское поселение, г. Белая Калитва, </w:t>
            </w:r>
            <w:r>
              <w:t xml:space="preserve">ул. Энгельса, земельный участок </w:t>
            </w:r>
            <w:r>
              <w:t>№ 17 б</w:t>
            </w:r>
          </w:p>
        </w:tc>
        <w:tc>
          <w:tcPr>
            <w:tcW w:type="dxa" w:w="1698"/>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tcPr>
          <w:p w14:paraId="DA010000">
            <w:r>
              <w:t>ВСЕГО</w:t>
            </w:r>
          </w:p>
        </w:tc>
        <w:tc>
          <w:tcPr>
            <w:tcW w:type="dxa" w:w="1413"/>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DB010000">
            <w:pPr>
              <w:ind/>
              <w:jc w:val="center"/>
            </w:pPr>
            <w:r>
              <w:t>2 445,5</w:t>
            </w:r>
          </w:p>
        </w:tc>
        <w:tc>
          <w:tcPr>
            <w:tcW w:type="dxa" w:w="1203"/>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center"/>
          </w:tcPr>
          <w:p w14:paraId="DC010000">
            <w:pPr>
              <w:ind/>
              <w:jc w:val="center"/>
            </w:pPr>
            <w:r>
              <w:t>0</w:t>
            </w:r>
          </w:p>
        </w:tc>
        <w:tc>
          <w:tcPr>
            <w:tcW w:type="dxa" w:w="1092"/>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DD010000">
            <w:pPr>
              <w:ind/>
              <w:jc w:val="center"/>
            </w:pPr>
            <w:r>
              <w:t>2 445,5</w:t>
            </w:r>
          </w:p>
        </w:tc>
        <w:tc>
          <w:tcPr>
            <w:tcW w:type="dxa" w:w="1169"/>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DE010000">
            <w:pPr>
              <w:ind/>
              <w:jc w:val="center"/>
            </w:pPr>
            <w:r>
              <w:t>0</w:t>
            </w:r>
          </w:p>
        </w:tc>
        <w:tc>
          <w:tcPr>
            <w:tcW w:type="dxa" w:w="1140"/>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DF010000">
            <w:pPr>
              <w:ind/>
              <w:jc w:val="center"/>
            </w:pPr>
            <w:r>
              <w:t>0</w:t>
            </w:r>
          </w:p>
        </w:tc>
      </w:tr>
      <w:tr>
        <w:trPr>
          <w:trHeight w:hRule="atLeast" w:val="388"/>
        </w:trPr>
        <w:tc>
          <w:tcPr>
            <w:tcW w:type="dxa" w:w="709"/>
            <w:gridSpan w:val="1"/>
            <w:vMerge w:val="continue"/>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center"/>
          </w:tcPr>
          <w:p/>
        </w:tc>
        <w:tc>
          <w:tcPr>
            <w:tcW w:type="dxa" w:w="6987"/>
            <w:gridSpan w:val="1"/>
            <w:vMerge w:val="continue"/>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tcPr>
          <w:p/>
        </w:tc>
        <w:tc>
          <w:tcPr>
            <w:tcW w:type="dxa" w:w="1698"/>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tcPr>
          <w:p w14:paraId="E0010000">
            <w:r>
              <w:t>Федеральный</w:t>
            </w:r>
          </w:p>
        </w:tc>
        <w:tc>
          <w:tcPr>
            <w:tcW w:type="dxa" w:w="1413"/>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E1010000">
            <w:pPr>
              <w:ind/>
              <w:jc w:val="center"/>
            </w:pPr>
            <w:r>
              <w:t>0,0</w:t>
            </w:r>
          </w:p>
        </w:tc>
        <w:tc>
          <w:tcPr>
            <w:tcW w:type="dxa" w:w="1203"/>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center"/>
          </w:tcPr>
          <w:p w14:paraId="E2010000">
            <w:pPr>
              <w:ind/>
              <w:jc w:val="center"/>
            </w:pPr>
            <w:r>
              <w:t>0</w:t>
            </w:r>
          </w:p>
        </w:tc>
        <w:tc>
          <w:tcPr>
            <w:tcW w:type="dxa" w:w="1092"/>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E3010000">
            <w:pPr>
              <w:ind/>
              <w:jc w:val="center"/>
            </w:pPr>
            <w:r>
              <w:t>0,0</w:t>
            </w:r>
          </w:p>
        </w:tc>
        <w:tc>
          <w:tcPr>
            <w:tcW w:type="dxa" w:w="1169"/>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E4010000">
            <w:pPr>
              <w:ind/>
              <w:jc w:val="center"/>
            </w:pPr>
            <w:r>
              <w:t>0</w:t>
            </w:r>
          </w:p>
        </w:tc>
        <w:tc>
          <w:tcPr>
            <w:tcW w:type="dxa" w:w="1140"/>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E5010000">
            <w:pPr>
              <w:ind/>
              <w:jc w:val="center"/>
            </w:pPr>
            <w:r>
              <w:t>0</w:t>
            </w:r>
          </w:p>
        </w:tc>
      </w:tr>
      <w:tr>
        <w:trPr>
          <w:trHeight w:hRule="atLeast" w:val="183"/>
        </w:trPr>
        <w:tc>
          <w:tcPr>
            <w:tcW w:type="dxa" w:w="709"/>
            <w:gridSpan w:val="1"/>
            <w:vMerge w:val="continue"/>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center"/>
          </w:tcPr>
          <w:p/>
        </w:tc>
        <w:tc>
          <w:tcPr>
            <w:tcW w:type="dxa" w:w="6987"/>
            <w:gridSpan w:val="1"/>
            <w:vMerge w:val="continue"/>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tcPr>
          <w:p/>
        </w:tc>
        <w:tc>
          <w:tcPr>
            <w:tcW w:type="dxa" w:w="1698"/>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tcPr>
          <w:p w14:paraId="E6010000">
            <w:r>
              <w:t>Областной</w:t>
            </w:r>
          </w:p>
        </w:tc>
        <w:tc>
          <w:tcPr>
            <w:tcW w:type="dxa" w:w="1413"/>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E7010000">
            <w:pPr>
              <w:ind/>
              <w:jc w:val="center"/>
            </w:pPr>
            <w:r>
              <w:t>2 445,5</w:t>
            </w:r>
          </w:p>
        </w:tc>
        <w:tc>
          <w:tcPr>
            <w:tcW w:type="dxa" w:w="1203"/>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center"/>
          </w:tcPr>
          <w:p w14:paraId="E8010000">
            <w:pPr>
              <w:ind/>
              <w:jc w:val="center"/>
            </w:pPr>
            <w:r>
              <w:t>0</w:t>
            </w:r>
          </w:p>
        </w:tc>
        <w:tc>
          <w:tcPr>
            <w:tcW w:type="dxa" w:w="1092"/>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E9010000">
            <w:pPr>
              <w:ind/>
              <w:jc w:val="center"/>
            </w:pPr>
            <w:r>
              <w:t>2 445,5</w:t>
            </w:r>
          </w:p>
        </w:tc>
        <w:tc>
          <w:tcPr>
            <w:tcW w:type="dxa" w:w="1169"/>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EA010000">
            <w:pPr>
              <w:ind/>
              <w:jc w:val="center"/>
            </w:pPr>
            <w:r>
              <w:t>0</w:t>
            </w:r>
          </w:p>
        </w:tc>
        <w:tc>
          <w:tcPr>
            <w:tcW w:type="dxa" w:w="1140"/>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EB010000">
            <w:pPr>
              <w:ind/>
              <w:jc w:val="center"/>
            </w:pPr>
            <w:r>
              <w:t>0</w:t>
            </w:r>
          </w:p>
        </w:tc>
      </w:tr>
      <w:tr>
        <w:trPr>
          <w:trHeight w:hRule="atLeast" w:val="353"/>
        </w:trPr>
        <w:tc>
          <w:tcPr>
            <w:tcW w:type="dxa" w:w="709"/>
            <w:vMerge w:val="restart"/>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center"/>
          </w:tcPr>
          <w:p w14:paraId="EC010000">
            <w:pPr>
              <w:pStyle w:val="Style_2"/>
              <w:ind/>
              <w:jc w:val="center"/>
            </w:pPr>
            <w:r>
              <w:t>9</w:t>
            </w:r>
          </w:p>
        </w:tc>
        <w:tc>
          <w:tcPr>
            <w:tcW w:type="dxa" w:w="6987"/>
            <w:vMerge w:val="restart"/>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tcPr>
          <w:p w14:paraId="ED010000">
            <w:pPr>
              <w:pStyle w:val="Style_2"/>
            </w:pPr>
            <w:r>
              <w:t>Благоустройство территории по адресу: Ростовская область, Белокалитвинский район, г. Белая Калитва, ул. Ипподромная, земельный участок № 1 а</w:t>
            </w:r>
          </w:p>
        </w:tc>
        <w:tc>
          <w:tcPr>
            <w:tcW w:type="dxa" w:w="1698"/>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tcPr>
          <w:p w14:paraId="EE010000">
            <w:r>
              <w:t>ВСЕГО</w:t>
            </w:r>
          </w:p>
        </w:tc>
        <w:tc>
          <w:tcPr>
            <w:tcW w:type="dxa" w:w="1413"/>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EF010000">
            <w:pPr>
              <w:ind/>
              <w:jc w:val="center"/>
            </w:pPr>
            <w:r>
              <w:t>2 999,9</w:t>
            </w:r>
          </w:p>
        </w:tc>
        <w:tc>
          <w:tcPr>
            <w:tcW w:type="dxa" w:w="1203"/>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center"/>
          </w:tcPr>
          <w:p w14:paraId="F0010000">
            <w:pPr>
              <w:ind/>
              <w:jc w:val="center"/>
            </w:pPr>
            <w:r>
              <w:t>0</w:t>
            </w:r>
          </w:p>
        </w:tc>
        <w:tc>
          <w:tcPr>
            <w:tcW w:type="dxa" w:w="1092"/>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F1010000">
            <w:pPr>
              <w:ind/>
              <w:jc w:val="center"/>
            </w:pPr>
            <w:r>
              <w:t>2 999,9</w:t>
            </w:r>
          </w:p>
        </w:tc>
        <w:tc>
          <w:tcPr>
            <w:tcW w:type="dxa" w:w="1169"/>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F2010000">
            <w:pPr>
              <w:ind/>
              <w:jc w:val="center"/>
            </w:pPr>
            <w:r>
              <w:t>0</w:t>
            </w:r>
          </w:p>
        </w:tc>
        <w:tc>
          <w:tcPr>
            <w:tcW w:type="dxa" w:w="1140"/>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F3010000">
            <w:pPr>
              <w:ind/>
              <w:jc w:val="center"/>
            </w:pPr>
            <w:r>
              <w:t>0</w:t>
            </w:r>
          </w:p>
        </w:tc>
      </w:tr>
      <w:tr>
        <w:trPr>
          <w:trHeight w:hRule="atLeast" w:val="386"/>
        </w:trPr>
        <w:tc>
          <w:tcPr>
            <w:tcW w:type="dxa" w:w="709"/>
            <w:gridSpan w:val="1"/>
            <w:vMerge w:val="continue"/>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center"/>
          </w:tcPr>
          <w:p/>
        </w:tc>
        <w:tc>
          <w:tcPr>
            <w:tcW w:type="dxa" w:w="6987"/>
            <w:gridSpan w:val="1"/>
            <w:vMerge w:val="continue"/>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tcPr>
          <w:p/>
        </w:tc>
        <w:tc>
          <w:tcPr>
            <w:tcW w:type="dxa" w:w="1698"/>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tcPr>
          <w:p w14:paraId="F4010000">
            <w:r>
              <w:t>Федеральный</w:t>
            </w:r>
          </w:p>
        </w:tc>
        <w:tc>
          <w:tcPr>
            <w:tcW w:type="dxa" w:w="1413"/>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F5010000">
            <w:pPr>
              <w:ind/>
              <w:jc w:val="center"/>
            </w:pPr>
            <w:r>
              <w:t>0,0</w:t>
            </w:r>
          </w:p>
        </w:tc>
        <w:tc>
          <w:tcPr>
            <w:tcW w:type="dxa" w:w="1203"/>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center"/>
          </w:tcPr>
          <w:p w14:paraId="F6010000">
            <w:pPr>
              <w:ind/>
              <w:jc w:val="center"/>
            </w:pPr>
            <w:r>
              <w:t>0</w:t>
            </w:r>
          </w:p>
        </w:tc>
        <w:tc>
          <w:tcPr>
            <w:tcW w:type="dxa" w:w="1092"/>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F7010000">
            <w:pPr>
              <w:ind/>
              <w:jc w:val="center"/>
            </w:pPr>
            <w:r>
              <w:t>0,0</w:t>
            </w:r>
          </w:p>
        </w:tc>
        <w:tc>
          <w:tcPr>
            <w:tcW w:type="dxa" w:w="1169"/>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F8010000">
            <w:pPr>
              <w:ind/>
              <w:jc w:val="center"/>
            </w:pPr>
            <w:r>
              <w:t>0</w:t>
            </w:r>
          </w:p>
        </w:tc>
        <w:tc>
          <w:tcPr>
            <w:tcW w:type="dxa" w:w="1140"/>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F9010000">
            <w:pPr>
              <w:ind/>
              <w:jc w:val="center"/>
            </w:pPr>
            <w:r>
              <w:t>0</w:t>
            </w:r>
          </w:p>
        </w:tc>
      </w:tr>
      <w:tr>
        <w:trPr>
          <w:trHeight w:hRule="atLeast" w:val="183"/>
        </w:trPr>
        <w:tc>
          <w:tcPr>
            <w:tcW w:type="dxa" w:w="709"/>
            <w:gridSpan w:val="1"/>
            <w:vMerge w:val="continue"/>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center"/>
          </w:tcPr>
          <w:p/>
        </w:tc>
        <w:tc>
          <w:tcPr>
            <w:tcW w:type="dxa" w:w="6987"/>
            <w:gridSpan w:val="1"/>
            <w:vMerge w:val="continue"/>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tcPr>
          <w:p/>
        </w:tc>
        <w:tc>
          <w:tcPr>
            <w:tcW w:type="dxa" w:w="1698"/>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tcPr>
          <w:p w14:paraId="FA010000">
            <w:r>
              <w:t>Областной</w:t>
            </w:r>
          </w:p>
        </w:tc>
        <w:tc>
          <w:tcPr>
            <w:tcW w:type="dxa" w:w="1413"/>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FB010000">
            <w:pPr>
              <w:ind/>
              <w:jc w:val="center"/>
            </w:pPr>
            <w:r>
              <w:t>2 999,9</w:t>
            </w:r>
          </w:p>
        </w:tc>
        <w:tc>
          <w:tcPr>
            <w:tcW w:type="dxa" w:w="1203"/>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center"/>
          </w:tcPr>
          <w:p w14:paraId="FC010000">
            <w:pPr>
              <w:ind/>
              <w:jc w:val="center"/>
            </w:pPr>
            <w:r>
              <w:t>0</w:t>
            </w:r>
          </w:p>
        </w:tc>
        <w:tc>
          <w:tcPr>
            <w:tcW w:type="dxa" w:w="1092"/>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FD010000">
            <w:pPr>
              <w:ind/>
              <w:jc w:val="center"/>
            </w:pPr>
            <w:r>
              <w:t>2 999,9</w:t>
            </w:r>
          </w:p>
        </w:tc>
        <w:tc>
          <w:tcPr>
            <w:tcW w:type="dxa" w:w="1169"/>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FE010000">
            <w:pPr>
              <w:ind/>
              <w:jc w:val="center"/>
            </w:pPr>
            <w:r>
              <w:t>0</w:t>
            </w:r>
          </w:p>
        </w:tc>
        <w:tc>
          <w:tcPr>
            <w:tcW w:type="dxa" w:w="1140"/>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FF010000">
            <w:pPr>
              <w:ind/>
              <w:jc w:val="center"/>
            </w:pPr>
            <w:r>
              <w:t>0</w:t>
            </w:r>
          </w:p>
        </w:tc>
      </w:tr>
      <w:tr>
        <w:trPr>
          <w:trHeight w:hRule="atLeast" w:val="407"/>
        </w:trPr>
        <w:tc>
          <w:tcPr>
            <w:tcW w:type="dxa" w:w="709"/>
            <w:vMerge w:val="restart"/>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center"/>
          </w:tcPr>
          <w:p w14:paraId="00020000">
            <w:pPr>
              <w:pStyle w:val="Style_2"/>
              <w:ind/>
              <w:jc w:val="center"/>
            </w:pPr>
            <w:r>
              <w:t>10</w:t>
            </w:r>
          </w:p>
        </w:tc>
        <w:tc>
          <w:tcPr>
            <w:tcW w:type="dxa" w:w="6987"/>
            <w:vMerge w:val="restart"/>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tcPr>
          <w:p w14:paraId="01020000">
            <w:r>
              <w:t xml:space="preserve">Благоустройство общественной территории по адресу: Ростовская область, Белокалитвинский район, р.п. Шолоховский, </w:t>
            </w:r>
            <w:r>
              <w:br/>
            </w:r>
            <w:r>
              <w:t>ул. Спортивная, 10 а (установка  малых архитектурных форм)</w:t>
            </w:r>
          </w:p>
        </w:tc>
        <w:tc>
          <w:tcPr>
            <w:tcW w:type="dxa" w:w="1698"/>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tcPr>
          <w:p w14:paraId="02020000">
            <w:r>
              <w:t>ВСЕГО</w:t>
            </w:r>
          </w:p>
        </w:tc>
        <w:tc>
          <w:tcPr>
            <w:tcW w:type="dxa" w:w="1413"/>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03020000">
            <w:pPr>
              <w:ind/>
              <w:jc w:val="center"/>
            </w:pPr>
            <w:r>
              <w:t>2 014,4</w:t>
            </w:r>
          </w:p>
        </w:tc>
        <w:tc>
          <w:tcPr>
            <w:tcW w:type="dxa" w:w="1203"/>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center"/>
          </w:tcPr>
          <w:p w14:paraId="04020000">
            <w:pPr>
              <w:ind/>
              <w:jc w:val="center"/>
            </w:pPr>
            <w:r>
              <w:t>0</w:t>
            </w:r>
          </w:p>
        </w:tc>
        <w:tc>
          <w:tcPr>
            <w:tcW w:type="dxa" w:w="1092"/>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05020000">
            <w:pPr>
              <w:ind/>
              <w:jc w:val="center"/>
            </w:pPr>
            <w:r>
              <w:t>2 014,4</w:t>
            </w:r>
          </w:p>
        </w:tc>
        <w:tc>
          <w:tcPr>
            <w:tcW w:type="dxa" w:w="1169"/>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06020000">
            <w:pPr>
              <w:ind/>
              <w:jc w:val="center"/>
            </w:pPr>
            <w:r>
              <w:t>0</w:t>
            </w:r>
          </w:p>
        </w:tc>
        <w:tc>
          <w:tcPr>
            <w:tcW w:type="dxa" w:w="1140"/>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07020000">
            <w:pPr>
              <w:ind/>
              <w:jc w:val="center"/>
            </w:pPr>
            <w:r>
              <w:t>0</w:t>
            </w:r>
          </w:p>
        </w:tc>
      </w:tr>
      <w:tr>
        <w:trPr>
          <w:trHeight w:hRule="atLeast" w:val="364"/>
        </w:trPr>
        <w:tc>
          <w:tcPr>
            <w:tcW w:type="dxa" w:w="709"/>
            <w:gridSpan w:val="1"/>
            <w:vMerge w:val="continue"/>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center"/>
          </w:tcPr>
          <w:p/>
        </w:tc>
        <w:tc>
          <w:tcPr>
            <w:tcW w:type="dxa" w:w="6987"/>
            <w:gridSpan w:val="1"/>
            <w:vMerge w:val="continue"/>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tcPr>
          <w:p/>
        </w:tc>
        <w:tc>
          <w:tcPr>
            <w:tcW w:type="dxa" w:w="1698"/>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tcPr>
          <w:p w14:paraId="08020000">
            <w:r>
              <w:t>Федеральный</w:t>
            </w:r>
          </w:p>
        </w:tc>
        <w:tc>
          <w:tcPr>
            <w:tcW w:type="dxa" w:w="1413"/>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09020000">
            <w:pPr>
              <w:ind/>
              <w:jc w:val="center"/>
            </w:pPr>
            <w:r>
              <w:t>0,0</w:t>
            </w:r>
          </w:p>
        </w:tc>
        <w:tc>
          <w:tcPr>
            <w:tcW w:type="dxa" w:w="1203"/>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center"/>
          </w:tcPr>
          <w:p w14:paraId="0A020000">
            <w:pPr>
              <w:ind/>
              <w:jc w:val="center"/>
            </w:pPr>
            <w:r>
              <w:t>0</w:t>
            </w:r>
          </w:p>
        </w:tc>
        <w:tc>
          <w:tcPr>
            <w:tcW w:type="dxa" w:w="1092"/>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0B020000">
            <w:pPr>
              <w:ind/>
              <w:jc w:val="center"/>
            </w:pPr>
            <w:r>
              <w:t>0,0</w:t>
            </w:r>
          </w:p>
        </w:tc>
        <w:tc>
          <w:tcPr>
            <w:tcW w:type="dxa" w:w="1169"/>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0C020000">
            <w:pPr>
              <w:ind/>
              <w:jc w:val="center"/>
            </w:pPr>
            <w:r>
              <w:t>0</w:t>
            </w:r>
          </w:p>
        </w:tc>
        <w:tc>
          <w:tcPr>
            <w:tcW w:type="dxa" w:w="1140"/>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0D020000">
            <w:pPr>
              <w:ind/>
              <w:jc w:val="center"/>
            </w:pPr>
            <w:r>
              <w:t>0</w:t>
            </w:r>
          </w:p>
        </w:tc>
      </w:tr>
      <w:tr>
        <w:trPr>
          <w:trHeight w:hRule="atLeast" w:val="321"/>
        </w:trPr>
        <w:tc>
          <w:tcPr>
            <w:tcW w:type="dxa" w:w="709"/>
            <w:gridSpan w:val="1"/>
            <w:vMerge w:val="continue"/>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center"/>
          </w:tcPr>
          <w:p/>
        </w:tc>
        <w:tc>
          <w:tcPr>
            <w:tcW w:type="dxa" w:w="6987"/>
            <w:gridSpan w:val="1"/>
            <w:vMerge w:val="continue"/>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tcPr>
          <w:p/>
        </w:tc>
        <w:tc>
          <w:tcPr>
            <w:tcW w:type="dxa" w:w="1698"/>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tcPr>
          <w:p w14:paraId="0E020000">
            <w:r>
              <w:t>Областной</w:t>
            </w:r>
          </w:p>
        </w:tc>
        <w:tc>
          <w:tcPr>
            <w:tcW w:type="dxa" w:w="1413"/>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0F020000">
            <w:pPr>
              <w:ind/>
              <w:jc w:val="center"/>
            </w:pPr>
            <w:r>
              <w:t>2 014,4</w:t>
            </w:r>
          </w:p>
        </w:tc>
        <w:tc>
          <w:tcPr>
            <w:tcW w:type="dxa" w:w="1203"/>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center"/>
          </w:tcPr>
          <w:p w14:paraId="10020000">
            <w:pPr>
              <w:ind/>
              <w:jc w:val="center"/>
            </w:pPr>
            <w:r>
              <w:t>0</w:t>
            </w:r>
          </w:p>
        </w:tc>
        <w:tc>
          <w:tcPr>
            <w:tcW w:type="dxa" w:w="1092"/>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11020000">
            <w:pPr>
              <w:ind/>
              <w:jc w:val="center"/>
            </w:pPr>
            <w:r>
              <w:t>2 014,4</w:t>
            </w:r>
          </w:p>
        </w:tc>
        <w:tc>
          <w:tcPr>
            <w:tcW w:type="dxa" w:w="1169"/>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12020000">
            <w:pPr>
              <w:ind/>
              <w:jc w:val="center"/>
            </w:pPr>
            <w:r>
              <w:t>0</w:t>
            </w:r>
          </w:p>
        </w:tc>
        <w:tc>
          <w:tcPr>
            <w:tcW w:type="dxa" w:w="1140"/>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13020000">
            <w:pPr>
              <w:ind/>
              <w:jc w:val="center"/>
            </w:pPr>
            <w:r>
              <w:t>0</w:t>
            </w:r>
          </w:p>
        </w:tc>
      </w:tr>
      <w:tr>
        <w:trPr>
          <w:trHeight w:hRule="atLeast" w:val="364"/>
        </w:trPr>
        <w:tc>
          <w:tcPr>
            <w:tcW w:type="dxa" w:w="709"/>
            <w:vMerge w:val="restart"/>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center"/>
          </w:tcPr>
          <w:p w14:paraId="14020000">
            <w:pPr>
              <w:pStyle w:val="Style_2"/>
              <w:ind/>
              <w:jc w:val="center"/>
            </w:pPr>
            <w:r>
              <w:t>11</w:t>
            </w:r>
          </w:p>
        </w:tc>
        <w:tc>
          <w:tcPr>
            <w:tcW w:type="dxa" w:w="6987"/>
            <w:vMerge w:val="restart"/>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tcPr>
          <w:p w14:paraId="15020000">
            <w:r>
              <w:t xml:space="preserve">Благоустройство земельного участка вокруг памятника «Воинам Великой Отечественной войны», расположенного по адресу: Ростовская область, Белокалитвинский район, Нижнепоповское сельское поселение, х. Нижнепопов, </w:t>
            </w:r>
            <w:r>
              <w:t>ул. Первая, участок № 29 а</w:t>
            </w:r>
          </w:p>
        </w:tc>
        <w:tc>
          <w:tcPr>
            <w:tcW w:type="dxa" w:w="1698"/>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tcPr>
          <w:p w14:paraId="16020000">
            <w:r>
              <w:t>ВСЕГО</w:t>
            </w:r>
          </w:p>
        </w:tc>
        <w:tc>
          <w:tcPr>
            <w:tcW w:type="dxa" w:w="1413"/>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17020000">
            <w:pPr>
              <w:ind/>
              <w:jc w:val="center"/>
            </w:pPr>
            <w:r>
              <w:t>2 168,4</w:t>
            </w:r>
          </w:p>
        </w:tc>
        <w:tc>
          <w:tcPr>
            <w:tcW w:type="dxa" w:w="1203"/>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center"/>
          </w:tcPr>
          <w:p w14:paraId="18020000">
            <w:pPr>
              <w:ind/>
              <w:jc w:val="center"/>
            </w:pPr>
            <w:r>
              <w:t>0</w:t>
            </w:r>
          </w:p>
        </w:tc>
        <w:tc>
          <w:tcPr>
            <w:tcW w:type="dxa" w:w="1092"/>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19020000">
            <w:pPr>
              <w:ind/>
              <w:jc w:val="center"/>
            </w:pPr>
            <w:r>
              <w:t>2 168,4</w:t>
            </w:r>
          </w:p>
        </w:tc>
        <w:tc>
          <w:tcPr>
            <w:tcW w:type="dxa" w:w="1169"/>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1A020000">
            <w:pPr>
              <w:ind/>
              <w:jc w:val="center"/>
            </w:pPr>
            <w:r>
              <w:t>0</w:t>
            </w:r>
          </w:p>
        </w:tc>
        <w:tc>
          <w:tcPr>
            <w:tcW w:type="dxa" w:w="1140"/>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1B020000">
            <w:pPr>
              <w:ind/>
              <w:jc w:val="center"/>
            </w:pPr>
            <w:r>
              <w:t>0</w:t>
            </w:r>
          </w:p>
        </w:tc>
      </w:tr>
      <w:tr>
        <w:trPr>
          <w:trHeight w:hRule="atLeast" w:val="364"/>
        </w:trPr>
        <w:tc>
          <w:tcPr>
            <w:tcW w:type="dxa" w:w="709"/>
            <w:gridSpan w:val="1"/>
            <w:vMerge w:val="continue"/>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center"/>
          </w:tcPr>
          <w:p/>
        </w:tc>
        <w:tc>
          <w:tcPr>
            <w:tcW w:type="dxa" w:w="6987"/>
            <w:gridSpan w:val="1"/>
            <w:vMerge w:val="continue"/>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tcPr>
          <w:p/>
        </w:tc>
        <w:tc>
          <w:tcPr>
            <w:tcW w:type="dxa" w:w="1698"/>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tcPr>
          <w:p w14:paraId="1C020000">
            <w:r>
              <w:t>Федеральный</w:t>
            </w:r>
          </w:p>
        </w:tc>
        <w:tc>
          <w:tcPr>
            <w:tcW w:type="dxa" w:w="1413"/>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1D020000">
            <w:pPr>
              <w:ind/>
              <w:jc w:val="center"/>
            </w:pPr>
            <w:r>
              <w:t>0,0</w:t>
            </w:r>
          </w:p>
        </w:tc>
        <w:tc>
          <w:tcPr>
            <w:tcW w:type="dxa" w:w="1203"/>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center"/>
          </w:tcPr>
          <w:p w14:paraId="1E020000">
            <w:pPr>
              <w:ind/>
              <w:jc w:val="center"/>
            </w:pPr>
            <w:r>
              <w:t>0</w:t>
            </w:r>
          </w:p>
        </w:tc>
        <w:tc>
          <w:tcPr>
            <w:tcW w:type="dxa" w:w="1092"/>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1F020000">
            <w:pPr>
              <w:ind/>
              <w:jc w:val="center"/>
            </w:pPr>
            <w:r>
              <w:t>0,0</w:t>
            </w:r>
          </w:p>
        </w:tc>
        <w:tc>
          <w:tcPr>
            <w:tcW w:type="dxa" w:w="1169"/>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20020000">
            <w:pPr>
              <w:ind/>
              <w:jc w:val="center"/>
            </w:pPr>
            <w:r>
              <w:t>0</w:t>
            </w:r>
          </w:p>
        </w:tc>
        <w:tc>
          <w:tcPr>
            <w:tcW w:type="dxa" w:w="1140"/>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21020000">
            <w:pPr>
              <w:ind/>
              <w:jc w:val="center"/>
            </w:pPr>
            <w:r>
              <w:t>0</w:t>
            </w:r>
          </w:p>
        </w:tc>
      </w:tr>
      <w:tr>
        <w:trPr>
          <w:trHeight w:hRule="atLeast" w:val="183"/>
        </w:trPr>
        <w:tc>
          <w:tcPr>
            <w:tcW w:type="dxa" w:w="709"/>
            <w:gridSpan w:val="1"/>
            <w:vMerge w:val="continue"/>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center"/>
          </w:tcPr>
          <w:p/>
        </w:tc>
        <w:tc>
          <w:tcPr>
            <w:tcW w:type="dxa" w:w="6987"/>
            <w:gridSpan w:val="1"/>
            <w:vMerge w:val="continue"/>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tcPr>
          <w:p/>
        </w:tc>
        <w:tc>
          <w:tcPr>
            <w:tcW w:type="dxa" w:w="1698"/>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tcPr>
          <w:p w14:paraId="22020000">
            <w:r>
              <w:t>Областной</w:t>
            </w:r>
          </w:p>
        </w:tc>
        <w:tc>
          <w:tcPr>
            <w:tcW w:type="dxa" w:w="1413"/>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23020000">
            <w:pPr>
              <w:ind/>
              <w:jc w:val="center"/>
            </w:pPr>
            <w:r>
              <w:t>2 168,4</w:t>
            </w:r>
          </w:p>
        </w:tc>
        <w:tc>
          <w:tcPr>
            <w:tcW w:type="dxa" w:w="1203"/>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center"/>
          </w:tcPr>
          <w:p w14:paraId="24020000">
            <w:pPr>
              <w:ind/>
              <w:jc w:val="center"/>
            </w:pPr>
            <w:r>
              <w:t>0</w:t>
            </w:r>
          </w:p>
        </w:tc>
        <w:tc>
          <w:tcPr>
            <w:tcW w:type="dxa" w:w="1092"/>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25020000">
            <w:pPr>
              <w:ind/>
              <w:jc w:val="center"/>
            </w:pPr>
            <w:r>
              <w:t>2 168,4</w:t>
            </w:r>
          </w:p>
        </w:tc>
        <w:tc>
          <w:tcPr>
            <w:tcW w:type="dxa" w:w="1169"/>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26020000">
            <w:pPr>
              <w:ind/>
              <w:jc w:val="center"/>
            </w:pPr>
            <w:r>
              <w:t>0</w:t>
            </w:r>
          </w:p>
        </w:tc>
        <w:tc>
          <w:tcPr>
            <w:tcW w:type="dxa" w:w="1140"/>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27020000">
            <w:pPr>
              <w:ind/>
              <w:jc w:val="center"/>
            </w:pPr>
            <w:r>
              <w:t>0</w:t>
            </w:r>
          </w:p>
        </w:tc>
      </w:tr>
    </w:tbl>
    <w:p w14:paraId="28020000">
      <w:pPr>
        <w:ind/>
        <w:jc w:val="left"/>
        <w:rPr>
          <w:sz w:val="24"/>
        </w:rPr>
      </w:pPr>
    </w:p>
    <w:p w14:paraId="29020000">
      <w:pPr>
        <w:rPr>
          <w:sz w:val="28"/>
        </w:rPr>
      </w:pPr>
    </w:p>
    <w:p w14:paraId="2A020000"/>
    <w:p w14:paraId="2B020000">
      <w:pPr>
        <w:ind w:firstLine="2551"/>
        <w:rPr>
          <w:sz w:val="28"/>
        </w:rPr>
      </w:pPr>
      <w:r>
        <w:rPr>
          <w:sz w:val="28"/>
        </w:rPr>
        <w:t xml:space="preserve">Заместитель главы Администрации </w:t>
      </w:r>
    </w:p>
    <w:p w14:paraId="2C020000">
      <w:pPr>
        <w:ind w:firstLine="2551"/>
        <w:rPr>
          <w:sz w:val="28"/>
        </w:rPr>
      </w:pPr>
      <w:r>
        <w:rPr>
          <w:sz w:val="28"/>
        </w:rPr>
        <w:t xml:space="preserve">Белокалитвинского района </w:t>
      </w:r>
    </w:p>
    <w:p w14:paraId="2D020000">
      <w:pPr>
        <w:ind w:firstLine="2551"/>
        <w:rPr>
          <w:sz w:val="28"/>
        </w:rPr>
      </w:pPr>
      <w:r>
        <w:rPr>
          <w:sz w:val="28"/>
        </w:rPr>
        <w:t>по организационной и кадровой работе                                              Л.Г. Василенко</w:t>
      </w:r>
    </w:p>
    <w:p w14:paraId="2E020000">
      <w:pPr>
        <w:ind w:firstLine="2551"/>
        <w:rPr>
          <w:sz w:val="28"/>
        </w:rPr>
      </w:pPr>
    </w:p>
    <w:p w14:paraId="2F020000">
      <w:pPr>
        <w:ind w:firstLine="2551"/>
        <w:rPr>
          <w:sz w:val="28"/>
        </w:rPr>
      </w:pPr>
    </w:p>
    <w:p w14:paraId="30020000">
      <w:pPr>
        <w:keepNext w:val="1"/>
        <w:ind w:firstLine="2551"/>
        <w:outlineLvl w:val="1"/>
        <w:rPr>
          <w:color w:val="FFFFFF"/>
          <w:sz w:val="28"/>
        </w:rPr>
      </w:pPr>
      <w:r>
        <w:rPr>
          <w:color w:val="FFFFFF"/>
          <w:sz w:val="28"/>
        </w:rPr>
        <w:t xml:space="preserve">Согласовано: </w:t>
      </w:r>
    </w:p>
    <w:p w14:paraId="31020000">
      <w:pPr>
        <w:ind w:firstLine="2551"/>
        <w:rPr>
          <w:color w:val="FFFFFF"/>
          <w:sz w:val="28"/>
        </w:rPr>
      </w:pPr>
      <w:r>
        <w:rPr>
          <w:color w:val="FFFFFF"/>
          <w:sz w:val="28"/>
        </w:rPr>
        <w:t>Заместитель главы Администра</w:t>
      </w:r>
      <w:r>
        <w:rPr>
          <w:color w:val="FFFFFF"/>
          <w:sz w:val="28"/>
        </w:rPr>
        <w:t>ции</w:t>
      </w:r>
    </w:p>
    <w:p w14:paraId="32020000">
      <w:pPr>
        <w:ind w:firstLine="2551"/>
        <w:rPr>
          <w:color w:val="FFFFFF"/>
          <w:sz w:val="28"/>
        </w:rPr>
      </w:pPr>
      <w:r>
        <w:rPr>
          <w:color w:val="FFFFFF"/>
          <w:sz w:val="28"/>
        </w:rPr>
        <w:t xml:space="preserve">по организационной и кадровой работе                                      </w:t>
      </w:r>
      <w:r>
        <w:rPr>
          <w:color w:val="FFFFFF"/>
          <w:sz w:val="28"/>
        </w:rPr>
        <w:t xml:space="preserve">    </w:t>
      </w:r>
      <w:r>
        <w:rPr>
          <w:color w:val="FFFFFF"/>
          <w:sz w:val="28"/>
        </w:rPr>
        <w:t xml:space="preserve">     Л.Г. Василенко</w:t>
      </w:r>
    </w:p>
    <w:p w14:paraId="33020000">
      <w:pPr>
        <w:ind w:firstLine="2551"/>
        <w:rPr>
          <w:color w:val="FFFFFF"/>
          <w:sz w:val="28"/>
        </w:rPr>
      </w:pPr>
    </w:p>
    <w:p w14:paraId="34020000">
      <w:pPr>
        <w:ind w:firstLine="2551"/>
        <w:rPr>
          <w:color w:val="FFFFFF"/>
          <w:sz w:val="28"/>
        </w:rPr>
      </w:pPr>
      <w:r>
        <w:rPr>
          <w:color w:val="FFFFFF"/>
          <w:sz w:val="28"/>
        </w:rPr>
        <w:t>Начальник</w:t>
      </w:r>
      <w:r>
        <w:rPr>
          <w:color w:val="FFFFFF"/>
          <w:sz w:val="28"/>
        </w:rPr>
        <w:t xml:space="preserve"> юридического отдела</w:t>
      </w:r>
      <w:r>
        <w:rPr>
          <w:color w:val="FFFFFF"/>
          <w:sz w:val="28"/>
        </w:rPr>
        <w:tab/>
      </w:r>
      <w:r>
        <w:rPr>
          <w:color w:val="FFFFFF"/>
          <w:sz w:val="28"/>
        </w:rPr>
        <w:t xml:space="preserve">                                </w:t>
      </w:r>
      <w:r>
        <w:rPr>
          <w:color w:val="FFFFFF"/>
          <w:sz w:val="28"/>
        </w:rPr>
        <w:t xml:space="preserve">    </w:t>
      </w:r>
      <w:r>
        <w:rPr>
          <w:color w:val="FFFFFF"/>
          <w:sz w:val="28"/>
        </w:rPr>
        <w:t xml:space="preserve">              С.Ю. Лукьянов</w:t>
      </w:r>
    </w:p>
    <w:p w14:paraId="35020000">
      <w:pPr>
        <w:ind w:firstLine="2551"/>
        <w:rPr>
          <w:color w:val="000000"/>
          <w:sz w:val="28"/>
        </w:rPr>
      </w:pPr>
    </w:p>
    <w:p w14:paraId="36020000">
      <w:pPr>
        <w:ind w:firstLine="2551"/>
        <w:rPr>
          <w:sz w:val="28"/>
        </w:rPr>
      </w:pPr>
      <w:r>
        <w:rPr>
          <w:sz w:val="28"/>
        </w:rPr>
        <w:t>Проект вносит:</w:t>
      </w:r>
    </w:p>
    <w:p w14:paraId="37020000">
      <w:pPr>
        <w:tabs>
          <w:tab w:leader="none" w:pos="4677" w:val="center"/>
          <w:tab w:leader="none" w:pos="9355" w:val="right"/>
        </w:tabs>
        <w:ind w:firstLine="2551"/>
        <w:rPr>
          <w:sz w:val="28"/>
        </w:rPr>
      </w:pPr>
      <w:r>
        <w:rPr>
          <w:sz w:val="28"/>
        </w:rPr>
        <w:t>Начальник отдела ЖКХ                                                                          Т.В. Атмашкина</w:t>
      </w:r>
    </w:p>
    <w:sectPr>
      <w:headerReference r:id="rId2" w:type="default"/>
      <w:pgSz w:h="11908" w:orient="landscape" w:w="16848"/>
      <w:pgMar w:bottom="709" w:footer="709" w:gutter="0" w:header="426" w:left="567" w:right="709" w:top="1276"/>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header1.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1000000">
    <w:pPr>
      <w:pStyle w:val="Style_1"/>
      <w:ind/>
      <w:jc w:val="right"/>
    </w:pPr>
    <w:r>
      <w:t xml:space="preserve">                                                        </w:t>
    </w:r>
    <w:r>
      <mc:AlternateContent>
        <mc:Choice Requires="wps">
          <w:draw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wp:inline>
              <wp:extent cx="327025" cy="317500"/>
              <wp:docPr hidden="false" id="1" name="Picture 1"/>
              <a:graphic>
                <a:graphicData uri="http://schemas.microsoft.com/office/word/2010/wordprocessingShape">
                  <wps:wsp>
                    <wps:cNvSpPr txBox="false"/>
                    <wps:spPr>
                      <a:xfrm flipH="false" flipV="false" rot="0">
                        <a:off x="0" y="0"/>
                        <a:ext cx="327025" cy="317500"/>
                      </a:xfrm>
                      <a:prstGeom prst="rect">
                        <a:avLst/>
                      </a:prstGeom>
                      <a:solidFill>
                        <a:schemeClr val="bg1"/>
                      </a:solidFill>
                      <a:ln w="12700">
                        <a:solidFill>
                          <a:schemeClr val="bg1"/>
                        </a:solidFill>
                        <a:prstDash val="solid"/>
                      </a:ln>
                    </wps:spPr>
                    <wps:txbx>
                      <w:txbxContent>
                        <w:p w14:paraId="02000000">
                          <w:pPr>
                            <w:pStyle w:val="Style_2"/>
                            <w:ind/>
                            <w:jc w:val="center"/>
                            <w:rPr>
                              <w:rFonts w:asciiTheme="minorAscii" w:hAnsiTheme="minorHAnsi"/>
                              <w:color w:themeColor="background1" w:val="FFFFFF"/>
                              <w:spacing w:val="0"/>
                            </w:rPr>
                          </w:pPr>
                        </w:p>
                      </w:txbxContent>
                    </wps:txbx>
                    <wps:bodyPr anchor="ctr" bIns="46800" lIns="90000" rIns="90000" tIns="46800" vert="horz" wrap="square">
                      <a:noAutofit/>
                    </wps:bodyPr>
                  </wps:wsp>
                </a:graphicData>
              </a:graphic>
            </wp:inline>
          </w:drawing>
        </mc:Choice>
        <mc:Fallback>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Fallback>
      </mc:AlternateContent>
    </w:r>
    <w:r>
      <w:t xml:space="preserve"> </w:t>
    </w:r>
    <w:r>
      <w:t xml:space="preserve">  </w:t>
    </w:r>
    <w:r>
      <mc:AlternateContent>
        <mc:Choice Requires="wps">
          <w:draw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wp:anchor allowOverlap="true" behindDoc="false" distB="0" distL="114300" distR="114300" distT="0" layoutInCell="true" locked="false" relativeHeight="251658240" simplePos="false">
              <wp:simplePos x="0" y="0"/>
              <wp:positionH relativeFrom="margin">
                <wp:align>center</wp:align>
              </wp:positionH>
              <wp:positionV relativeFrom="paragraph">
                <wp:posOffset>0</wp:posOffset>
              </wp:positionV>
              <wp:extent cx="1270000" cy="1270000"/>
              <wp:wrapSquare distB="0" distL="114300" distR="114300" distT="0" wrapText="bothSides"/>
              <wp:docPr hidden="false" id="2" name="Picture 2"/>
              <a:graphic>
                <a:graphicData uri="http://schemas.microsoft.com/office/word/2010/wordprocessingShape">
                  <wps:wsp>
                    <wps:cNvSpPr txBox="true"/>
                    <wps:spPr>
                      <a:xfrm flipH="false" flipV="false" rot="0">
                        <a:off x="0" y="0"/>
                        <a:ext cx="1270000" cy="1270000"/>
                      </a:xfrm>
                      <a:prstGeom prst="rect">
                        <a:avLst/>
                      </a:prstGeom>
                    </wps:spPr>
                    <wps:txbx>
                      <w:txbxContent>
                        <w:p w14:paraId="03000000">
                          <w:pPr>
                            <w:pStyle w:val="Style_2"/>
                            <w:ind/>
                            <w:jc w:val="center"/>
                            <w:rPr>
                              <w:rFonts w:ascii="Times New Roman" w:hAnsi="Times New Roman"/>
                              <w:spacing w:val="0"/>
                            </w:rPr>
                          </w:pPr>
                          <w:r>
                            <w:rPr>
                              <w:rFonts w:ascii="Times New Roman" w:hAnsi="Times New Roman"/>
                              <w:spacing w:val="0"/>
                            </w:rPr>
                            <w:fldChar w:fldCharType="begin"/>
                          </w:r>
                          <w:r>
                            <w:rPr>
                              <w:rFonts w:ascii="Times New Roman" w:hAnsi="Times New Roman"/>
                              <w:spacing w:val="0"/>
                            </w:rPr>
                            <w:instrText>PAGE \* Arabic</w:instrText>
                          </w:r>
                          <w:r>
                            <w:rPr>
                              <w:rFonts w:ascii="Times New Roman" w:hAnsi="Times New Roman"/>
                              <w:spacing w:val="0"/>
                            </w:rPr>
                            <w:fldChar w:fldCharType="separate"/>
                          </w:r>
                          <w:r>
                            <w:rPr>
                              <w:rFonts w:ascii="Times New Roman" w:hAnsi="Times New Roman"/>
                              <w:spacing w:val="0"/>
                            </w:rPr>
                            <w:t xml:space="preserve"> </w:t>
                          </w:r>
                          <w:r>
                            <w:rPr>
                              <w:rFonts w:ascii="Times New Roman" w:hAnsi="Times New Roman"/>
                              <w:spacing w:val="0"/>
                            </w:rPr>
                            <w:fldChar w:fldCharType="end"/>
                          </w:r>
                        </w:p>
                      </w:txbxContent>
                    </wps:txbx>
                    <wps:bodyPr anchor="ctr" anchorCtr="true" bIns="45720" lIns="91440" rIns="91440" tIns="45720" vert="horz" wrap="none">
                      <a:spAutoFit/>
                    </wps:bodyPr>
                  </wps:wsp>
                </a:graphicData>
              </a:graphic>
            </wp:anchor>
          </w:drawing>
        </mc:Choice>
        <mc:Fallback>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Fallback>
      </mc:AlternateContent>
    </w:r>
    <w:r>
      <w:t>ПРОЕКТ</w:t>
    </w:r>
  </w:p>
</w:hdr>
</file>

<file path=word/header2.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4000000">
    <w:pPr>
      <w:pStyle w:val="Style_1"/>
      <w:tabs>
        <w:tab w:leader="none" w:pos="4536" w:val="clear"/>
      </w:tabs>
      <w:ind w:firstLine="6521" w:left="709"/>
      <w:jc w:val="right"/>
    </w:pPr>
    <w:r>
      <w:t xml:space="preserve">ПРОЕКТ    </w:t>
    </w:r>
    <w:r>
      <w:rPr>
        <w:sz w:val="24"/>
      </w:rPr>
      <mc:AlternateContent>
        <mc:Choice Requires="wps">
          <w:draw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wp:anchor allowOverlap="true" behindDoc="false" distB="0" distL="114300" distR="114300" distT="0" layoutInCell="true" locked="false" relativeHeight="251658240" simplePos="false">
              <wp:simplePos x="0" y="0"/>
              <wp:positionH relativeFrom="margin">
                <wp:align>center</wp:align>
              </wp:positionH>
              <wp:positionV relativeFrom="paragraph">
                <wp:posOffset>0</wp:posOffset>
              </wp:positionV>
              <wp:extent cx="1270000" cy="1270000"/>
              <wp:wrapSquare distB="0" distL="114300" distR="114300" distT="0" wrapText="bothSides"/>
              <wp:docPr hidden="false" id="3" name="Picture 3"/>
              <a:graphic>
                <a:graphicData uri="http://schemas.microsoft.com/office/word/2010/wordprocessingShape">
                  <wps:wsp>
                    <wps:cNvSpPr txBox="true"/>
                    <wps:spPr>
                      <a:xfrm flipH="false" flipV="false" rot="0">
                        <a:off x="0" y="0"/>
                        <a:ext cx="1270000" cy="1270000"/>
                      </a:xfrm>
                      <a:prstGeom prst="rect">
                        <a:avLst/>
                      </a:prstGeom>
                    </wps:spPr>
                    <wps:txbx>
                      <w:txbxContent>
                        <w:p w14:paraId="05000000">
                          <w:pPr>
                            <w:pStyle w:val="Style_2"/>
                            <w:ind/>
                            <w:jc w:val="center"/>
                            <w:rPr>
                              <w:rFonts w:ascii="Times New Roman" w:hAnsi="Times New Roman"/>
                              <w:spacing w:val="0"/>
                            </w:rPr>
                          </w:pPr>
                          <w:r>
                            <w:rPr>
                              <w:rFonts w:ascii="Times New Roman" w:hAnsi="Times New Roman"/>
                              <w:spacing w:val="0"/>
                            </w:rPr>
                            <w:fldChar w:fldCharType="begin"/>
                          </w:r>
                          <w:r>
                            <w:rPr>
                              <w:rFonts w:ascii="Times New Roman" w:hAnsi="Times New Roman"/>
                              <w:spacing w:val="0"/>
                            </w:rPr>
                            <w:instrText>PAGE \* Arabic</w:instrText>
                          </w:r>
                          <w:r>
                            <w:rPr>
                              <w:rFonts w:ascii="Times New Roman" w:hAnsi="Times New Roman"/>
                              <w:spacing w:val="0"/>
                            </w:rPr>
                            <w:fldChar w:fldCharType="separate"/>
                          </w:r>
                          <w:r>
                            <w:rPr>
                              <w:rFonts w:ascii="Times New Roman" w:hAnsi="Times New Roman"/>
                              <w:spacing w:val="0"/>
                            </w:rPr>
                            <w:t xml:space="preserve"> </w:t>
                          </w:r>
                          <w:r>
                            <w:rPr>
                              <w:rFonts w:ascii="Times New Roman" w:hAnsi="Times New Roman"/>
                              <w:spacing w:val="0"/>
                            </w:rPr>
                            <w:fldChar w:fldCharType="end"/>
                          </w:r>
                        </w:p>
                      </w:txbxContent>
                    </wps:txbx>
                    <wps:bodyPr anchor="ctr" anchorCtr="true" bIns="45720" lIns="91440" rIns="91440" tIns="45720" vert="horz" wrap="none">
                      <a:spAutoFit/>
                    </wps:bodyPr>
                  </wps:wsp>
                </a:graphicData>
              </a:graphic>
            </wp:anchor>
          </w:drawing>
        </mc:Choice>
        <mc:Fallback>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Fallback>
      </mc:AlternateContent>
    </w:r>
  </w:p>
</w:hdr>
</file>

<file path=word/numbering.xml><?xml version="1.0" encoding="utf-8"?>
<w:number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abstractNum w:abstractNumId="0">
    <w:lvl w:ilvl="0">
      <w:start w:val="1"/>
      <w:numFmt w:val="decimal"/>
      <w:lvlText w:val="%1."/>
      <w:lvlJc w:val="left"/>
      <w:pPr>
        <w:tabs>
          <w:tab w:leader="none" w:pos="0" w:val="left"/>
        </w:tabs>
        <w:ind w:hanging="360" w:left="1068"/>
      </w:pPr>
      <w:rPr>
        <w:rFonts w:ascii="Times New Roman" w:hAnsi="Times New Roman"/>
        <w:sz w:val="28"/>
      </w:rPr>
    </w:lvl>
    <w:lvl w:ilvl="1">
      <w:start w:val="1"/>
      <w:numFmt w:val="lowerLetter"/>
      <w:lvlText w:val="%2."/>
      <w:lvlJc w:val="left"/>
      <w:pPr>
        <w:tabs>
          <w:tab w:leader="none" w:pos="0" w:val="left"/>
        </w:tabs>
        <w:ind w:hanging="360" w:left="1788"/>
      </w:pPr>
    </w:lvl>
    <w:lvl w:ilvl="2">
      <w:start w:val="1"/>
      <w:numFmt w:val="lowerRoman"/>
      <w:lvlText w:val="%3."/>
      <w:lvlJc w:val="right"/>
      <w:pPr>
        <w:tabs>
          <w:tab w:leader="none" w:pos="0" w:val="left"/>
        </w:tabs>
        <w:ind w:hanging="180" w:left="2508"/>
      </w:pPr>
    </w:lvl>
    <w:lvl w:ilvl="3">
      <w:start w:val="1"/>
      <w:numFmt w:val="decimal"/>
      <w:lvlText w:val="%4."/>
      <w:lvlJc w:val="left"/>
      <w:pPr>
        <w:tabs>
          <w:tab w:leader="none" w:pos="0" w:val="left"/>
        </w:tabs>
        <w:ind w:hanging="360" w:left="3228"/>
      </w:pPr>
    </w:lvl>
    <w:lvl w:ilvl="4">
      <w:start w:val="1"/>
      <w:numFmt w:val="lowerLetter"/>
      <w:lvlText w:val="%5."/>
      <w:lvlJc w:val="left"/>
      <w:pPr>
        <w:tabs>
          <w:tab w:leader="none" w:pos="0" w:val="left"/>
        </w:tabs>
        <w:ind w:hanging="360" w:left="3948"/>
      </w:pPr>
    </w:lvl>
    <w:lvl w:ilvl="5">
      <w:start w:val="1"/>
      <w:numFmt w:val="lowerRoman"/>
      <w:lvlText w:val="%6."/>
      <w:lvlJc w:val="right"/>
      <w:pPr>
        <w:tabs>
          <w:tab w:leader="none" w:pos="0" w:val="left"/>
        </w:tabs>
        <w:ind w:hanging="180" w:left="4668"/>
      </w:pPr>
    </w:lvl>
    <w:lvl w:ilvl="6">
      <w:start w:val="1"/>
      <w:numFmt w:val="decimal"/>
      <w:lvlText w:val="%7."/>
      <w:lvlJc w:val="left"/>
      <w:pPr>
        <w:tabs>
          <w:tab w:leader="none" w:pos="0" w:val="left"/>
        </w:tabs>
        <w:ind w:hanging="360" w:left="5388"/>
      </w:pPr>
    </w:lvl>
    <w:lvl w:ilvl="7">
      <w:start w:val="1"/>
      <w:numFmt w:val="lowerLetter"/>
      <w:lvlText w:val="%8."/>
      <w:lvlJc w:val="left"/>
      <w:pPr>
        <w:tabs>
          <w:tab w:leader="none" w:pos="0" w:val="left"/>
        </w:tabs>
        <w:ind w:hanging="360" w:left="6108"/>
      </w:pPr>
    </w:lvl>
    <w:lvl w:ilvl="8">
      <w:start w:val="1"/>
      <w:numFmt w:val="lowerRoman"/>
      <w:lvlText w:val="%9."/>
      <w:lvlJc w:val="right"/>
      <w:pPr>
        <w:tabs>
          <w:tab w:leader="none" w:pos="0" w:val="left"/>
        </w:tabs>
        <w:ind w:hanging="180" w:left="6828"/>
      </w:pPr>
    </w:lvl>
  </w:abstractNum>
  <w:abstractNum w:abstractNumId="1">
    <w:lvl w:ilvl="0">
      <w:start w:val="1"/>
      <w:numFmt w:val="decimal"/>
      <w:lvlText w:val="%1."/>
      <w:lvlJc w:val="left"/>
      <w:pPr>
        <w:ind w:hanging="360" w:left="720"/>
      </w:pPr>
    </w:lvl>
    <w:lvl w:ilvl="1">
      <w:start w:val="1"/>
      <w:numFmt w:val="lowerLetter"/>
      <w:lvlText w:val="%2."/>
      <w:lvlJc w:val="left"/>
      <w:pPr>
        <w:ind w:hanging="360" w:left="1440"/>
      </w:pPr>
    </w:lvl>
    <w:lvl w:ilvl="2">
      <w:start w:val="1"/>
      <w:numFmt w:val="lowerRoman"/>
      <w:lvlText w:val="%3."/>
      <w:lvlJc w:val="right"/>
      <w:pPr>
        <w:ind w:hanging="360" w:left="2160"/>
      </w:pPr>
    </w:lvl>
    <w:lvl w:ilvl="3">
      <w:start w:val="1"/>
      <w:numFmt w:val="decimal"/>
      <w:lvlText w:val="%4."/>
      <w:lvlJc w:val="left"/>
      <w:pPr>
        <w:ind w:hanging="360" w:left="2880"/>
      </w:pPr>
    </w:lvl>
    <w:lvl w:ilvl="4">
      <w:start w:val="1"/>
      <w:numFmt w:val="lowerLetter"/>
      <w:lvlText w:val="%5."/>
      <w:lvlJc w:val="left"/>
      <w:pPr>
        <w:ind w:hanging="360" w:left="3600"/>
      </w:pPr>
    </w:lvl>
    <w:lvl w:ilvl="5">
      <w:start w:val="1"/>
      <w:numFmt w:val="lowerRoman"/>
      <w:lvlText w:val="%6."/>
      <w:lvlJc w:val="right"/>
      <w:pPr>
        <w:ind w:hanging="360" w:left="4320"/>
      </w:pPr>
    </w:lvl>
    <w:lvl w:ilvl="6">
      <w:start w:val="1"/>
      <w:numFmt w:val="decimal"/>
      <w:lvlText w:val="%7."/>
      <w:lvlJc w:val="left"/>
      <w:pPr>
        <w:ind w:hanging="360" w:left="5040"/>
      </w:pPr>
    </w:lvl>
    <w:lvl w:ilvl="7">
      <w:start w:val="1"/>
      <w:numFmt w:val="lowerLetter"/>
      <w:lvlText w:val="%8."/>
      <w:lvlJc w:val="left"/>
      <w:pPr>
        <w:ind w:hanging="360" w:left="5760"/>
      </w:pPr>
    </w:lvl>
    <w:lvl w:ilvl="8">
      <w:start w:val="1"/>
      <w:numFmt w:val="lowerRoman"/>
      <w:lvlText w:val="%9."/>
      <w:lvlJc w:val="right"/>
      <w:pPr>
        <w:ind w:hanging="360" w:left="6480"/>
      </w:pPr>
    </w:lvl>
  </w:abstractNum>
  <w:num w:numId="1">
    <w:abstractNumId w:val="0"/>
  </w:num>
  <w:num w:numId="2">
    <w:abstractNumId w:val="1"/>
  </w:num>
</w:numbering>
</file>

<file path=word/settings.xml><?xml version="1.0" encoding="utf-8"?>
<w:setting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efaultTabStop w:val="708"/>
  <w:compat>
    <w:compatSetting w:name="compatibilityMode" w:uri="http://schemas.microsoft.com/office/word" w:val="15"/>
  </w:compat>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ocDefaults>
    <w:rPrDefault>
      <w:rPr>
        <w:rFonts w:ascii="Times New Roman" w:hAnsi="Times New Roman"/>
        <w:color w:val="000000"/>
        <w:spacing w:val="0"/>
        <w:sz w:val="20"/>
      </w:rPr>
    </w:rPrDefault>
    <w:pPrDefault>
      <w:pPr>
        <w:spacing w:after="0" w:before="0" w:line="240" w:lineRule="auto"/>
        <w:ind w:firstLine="0" w:left="0" w:right="0"/>
        <w:jc w:val="left"/>
      </w:pPr>
    </w:pPrDefault>
  </w:docDefaults>
  <w:latentStyles w:count="25"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End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2" w:type="paragraph">
    <w:name w:val="Normal"/>
    <w:link w:val="Style_2_ch"/>
    <w:uiPriority w:val="0"/>
    <w:qFormat/>
    <w:rPr>
      <w:color w:val="000000"/>
      <w:sz w:val="24"/>
    </w:rPr>
  </w:style>
  <w:style w:default="1" w:styleId="Style_2_ch" w:type="character">
    <w:name w:val="Normal"/>
    <w:link w:val="Style_2"/>
    <w:rPr>
      <w:color w:val="000000"/>
      <w:sz w:val="24"/>
    </w:rPr>
  </w:style>
  <w:style w:styleId="Style_4" w:type="paragraph">
    <w:name w:val="Сравнение редакций. Удаленный фрагмент"/>
    <w:link w:val="Style_4_ch"/>
    <w:rPr>
      <w:strike w:val="1"/>
      <w:color w:val="808000"/>
    </w:rPr>
  </w:style>
  <w:style w:styleId="Style_4_ch" w:type="character">
    <w:name w:val="Сравнение редакций. Удаленный фрагмент"/>
    <w:link w:val="Style_4"/>
    <w:rPr>
      <w:strike w:val="1"/>
      <w:color w:val="808000"/>
    </w:rPr>
  </w:style>
  <w:style w:styleId="Style_5" w:type="paragraph">
    <w:name w:val="Postan"/>
    <w:basedOn w:val="Style_2"/>
    <w:link w:val="Style_5_ch"/>
    <w:pPr>
      <w:ind/>
      <w:jc w:val="center"/>
    </w:pPr>
    <w:rPr>
      <w:sz w:val="28"/>
    </w:rPr>
  </w:style>
  <w:style w:styleId="Style_5_ch" w:type="character">
    <w:name w:val="Postan"/>
    <w:basedOn w:val="Style_2_ch"/>
    <w:link w:val="Style_5"/>
    <w:rPr>
      <w:sz w:val="28"/>
    </w:rPr>
  </w:style>
  <w:style w:styleId="Style_6" w:type="paragraph">
    <w:name w:val="contentheader2cols"/>
    <w:basedOn w:val="Style_2"/>
    <w:link w:val="Style_6_ch"/>
    <w:pPr>
      <w:spacing w:before="51"/>
      <w:ind w:left="257"/>
    </w:pPr>
    <w:rPr>
      <w:rFonts w:ascii="Arial" w:hAnsi="Arial"/>
      <w:b w:val="1"/>
      <w:color w:val="3560A7"/>
      <w:sz w:val="22"/>
    </w:rPr>
  </w:style>
  <w:style w:styleId="Style_6_ch" w:type="character">
    <w:name w:val="contentheader2cols"/>
    <w:basedOn w:val="Style_2_ch"/>
    <w:link w:val="Style_6"/>
    <w:rPr>
      <w:rFonts w:ascii="Arial" w:hAnsi="Arial"/>
      <w:b w:val="1"/>
      <w:color w:val="3560A7"/>
      <w:sz w:val="22"/>
    </w:rPr>
  </w:style>
  <w:style w:styleId="Style_7" w:type="paragraph">
    <w:name w:val="Внимание: Криминал!!"/>
    <w:basedOn w:val="Style_2"/>
    <w:next w:val="Style_2"/>
    <w:link w:val="Style_7_ch"/>
    <w:pPr>
      <w:widowControl w:val="0"/>
      <w:ind/>
      <w:jc w:val="both"/>
    </w:pPr>
    <w:rPr>
      <w:rFonts w:ascii="Arial" w:hAnsi="Arial"/>
    </w:rPr>
  </w:style>
  <w:style w:styleId="Style_7_ch" w:type="character">
    <w:name w:val="Внимание: Криминал!!"/>
    <w:basedOn w:val="Style_2_ch"/>
    <w:link w:val="Style_7"/>
    <w:rPr>
      <w:rFonts w:ascii="Arial" w:hAnsi="Arial"/>
    </w:rPr>
  </w:style>
  <w:style w:styleId="Style_8" w:type="paragraph">
    <w:name w:val="toc 2"/>
    <w:next w:val="Style_2"/>
    <w:link w:val="Style_8_ch"/>
    <w:uiPriority w:val="39"/>
    <w:pPr>
      <w:ind w:left="200"/>
    </w:pPr>
    <w:rPr>
      <w:rFonts w:ascii="XO Thames" w:hAnsi="XO Thames"/>
      <w:color w:val="000000"/>
      <w:sz w:val="28"/>
    </w:rPr>
  </w:style>
  <w:style w:styleId="Style_8_ch" w:type="character">
    <w:name w:val="toc 2"/>
    <w:link w:val="Style_8"/>
    <w:rPr>
      <w:rFonts w:ascii="XO Thames" w:hAnsi="XO Thames"/>
      <w:color w:val="000000"/>
      <w:sz w:val="28"/>
    </w:rPr>
  </w:style>
  <w:style w:styleId="Style_9" w:type="paragraph">
    <w:name w:val="_Style 146"/>
    <w:basedOn w:val="Style_10"/>
    <w:next w:val="Style_2"/>
    <w:link w:val="Style_9_ch"/>
    <w:rPr>
      <w:rFonts w:ascii="Arial" w:hAnsi="Arial"/>
      <w:b w:val="1"/>
      <w:color w:val="C0C0C0"/>
    </w:rPr>
  </w:style>
  <w:style w:styleId="Style_9_ch" w:type="character">
    <w:name w:val="_Style 146"/>
    <w:basedOn w:val="Style_10_ch"/>
    <w:link w:val="Style_9"/>
    <w:rPr>
      <w:rFonts w:ascii="Arial" w:hAnsi="Arial"/>
      <w:b w:val="1"/>
      <w:color w:val="C0C0C0"/>
    </w:rPr>
  </w:style>
  <w:style w:styleId="Style_11" w:type="paragraph">
    <w:name w:val="Утратил силу"/>
    <w:link w:val="Style_11_ch"/>
    <w:rPr>
      <w:b w:val="1"/>
      <w:strike w:val="1"/>
      <w:color w:val="808000"/>
    </w:rPr>
  </w:style>
  <w:style w:styleId="Style_11_ch" w:type="character">
    <w:name w:val="Утратил силу"/>
    <w:link w:val="Style_11"/>
    <w:rPr>
      <w:b w:val="1"/>
      <w:strike w:val="1"/>
      <w:color w:val="808000"/>
    </w:rPr>
  </w:style>
  <w:style w:styleId="Style_12" w:type="paragraph">
    <w:name w:val="caps"/>
    <w:link w:val="Style_12_ch"/>
    <w:rPr>
      <w:color w:val="000000"/>
    </w:rPr>
  </w:style>
  <w:style w:styleId="Style_12_ch" w:type="character">
    <w:name w:val="caps"/>
    <w:link w:val="Style_12"/>
    <w:rPr>
      <w:color w:val="000000"/>
    </w:rPr>
  </w:style>
  <w:style w:styleId="Style_13" w:type="paragraph">
    <w:name w:val="toc 4"/>
    <w:next w:val="Style_2"/>
    <w:link w:val="Style_13_ch"/>
    <w:uiPriority w:val="39"/>
    <w:pPr>
      <w:ind w:left="600"/>
    </w:pPr>
    <w:rPr>
      <w:rFonts w:ascii="XO Thames" w:hAnsi="XO Thames"/>
      <w:color w:val="000000"/>
      <w:sz w:val="28"/>
    </w:rPr>
  </w:style>
  <w:style w:styleId="Style_13_ch" w:type="character">
    <w:name w:val="toc 4"/>
    <w:link w:val="Style_13"/>
    <w:rPr>
      <w:rFonts w:ascii="XO Thames" w:hAnsi="XO Thames"/>
      <w:color w:val="000000"/>
      <w:sz w:val="28"/>
    </w:rPr>
  </w:style>
  <w:style w:styleId="Style_14" w:type="paragraph">
    <w:name w:val="Font Style11"/>
    <w:link w:val="Style_14_ch"/>
    <w:rPr>
      <w:color w:val="000000"/>
      <w:sz w:val="26"/>
    </w:rPr>
  </w:style>
  <w:style w:styleId="Style_14_ch" w:type="character">
    <w:name w:val="Font Style11"/>
    <w:link w:val="Style_14"/>
    <w:rPr>
      <w:color w:val="000000"/>
      <w:sz w:val="26"/>
    </w:rPr>
  </w:style>
  <w:style w:styleId="Style_15" w:type="paragraph">
    <w:name w:val="Знак Знак Знак Знак"/>
    <w:basedOn w:val="Style_2"/>
    <w:link w:val="Style_15_ch"/>
    <w:pPr>
      <w:spacing w:afterAutospacing="on" w:beforeAutospacing="on"/>
      <w:ind/>
      <w:jc w:val="both"/>
    </w:pPr>
    <w:rPr>
      <w:rFonts w:ascii="Tahoma" w:hAnsi="Tahoma"/>
      <w:sz w:val="20"/>
    </w:rPr>
  </w:style>
  <w:style w:styleId="Style_15_ch" w:type="character">
    <w:name w:val="Знак Знак Знак Знак"/>
    <w:basedOn w:val="Style_2_ch"/>
    <w:link w:val="Style_15"/>
    <w:rPr>
      <w:rFonts w:ascii="Tahoma" w:hAnsi="Tahoma"/>
      <w:sz w:val="20"/>
    </w:rPr>
  </w:style>
  <w:style w:styleId="Style_16" w:type="paragraph">
    <w:name w:val="toc 6"/>
    <w:next w:val="Style_2"/>
    <w:link w:val="Style_16_ch"/>
    <w:uiPriority w:val="39"/>
    <w:pPr>
      <w:ind w:left="1000"/>
    </w:pPr>
    <w:rPr>
      <w:rFonts w:ascii="XO Thames" w:hAnsi="XO Thames"/>
      <w:color w:val="000000"/>
      <w:sz w:val="28"/>
    </w:rPr>
  </w:style>
  <w:style w:styleId="Style_16_ch" w:type="character">
    <w:name w:val="toc 6"/>
    <w:link w:val="Style_16"/>
    <w:rPr>
      <w:rFonts w:ascii="XO Thames" w:hAnsi="XO Thames"/>
      <w:color w:val="000000"/>
      <w:sz w:val="28"/>
    </w:rPr>
  </w:style>
  <w:style w:styleId="Style_17" w:type="paragraph">
    <w:name w:val="Опечатки"/>
    <w:link w:val="Style_17_ch"/>
    <w:rPr>
      <w:color w:val="FF0000"/>
    </w:rPr>
  </w:style>
  <w:style w:styleId="Style_17_ch" w:type="character">
    <w:name w:val="Опечатки"/>
    <w:link w:val="Style_17"/>
    <w:rPr>
      <w:color w:val="FF0000"/>
    </w:rPr>
  </w:style>
  <w:style w:styleId="Style_18" w:type="paragraph">
    <w:name w:val="Знак Знак2 Char Char Знак Знак Char Char Знак Знак Char Char Знак Знак Char Char Знак Знак Char Char Знак Знак Char Char Знак Знак Char Char Знак Знак Char Char"/>
    <w:basedOn w:val="Style_2"/>
    <w:link w:val="Style_18_ch"/>
    <w:pPr>
      <w:spacing w:afterAutospacing="on" w:beforeAutospacing="on"/>
      <w:ind/>
    </w:pPr>
    <w:rPr>
      <w:rFonts w:ascii="Tahoma" w:hAnsi="Tahoma"/>
      <w:sz w:val="20"/>
    </w:rPr>
  </w:style>
  <w:style w:styleId="Style_18_ch" w:type="character">
    <w:name w:val="Знак Знак2 Char Char Знак Знак Char Char Знак Знак Char Char Знак Знак Char Char Знак Знак Char Char Знак Знак Char Char Знак Знак Char Char Знак Знак Char Char"/>
    <w:basedOn w:val="Style_2_ch"/>
    <w:link w:val="Style_18"/>
    <w:rPr>
      <w:rFonts w:ascii="Tahoma" w:hAnsi="Tahoma"/>
      <w:sz w:val="20"/>
    </w:rPr>
  </w:style>
  <w:style w:styleId="Style_19" w:type="paragraph">
    <w:name w:val="toc 7"/>
    <w:next w:val="Style_2"/>
    <w:link w:val="Style_19_ch"/>
    <w:uiPriority w:val="39"/>
    <w:pPr>
      <w:ind w:left="1200"/>
    </w:pPr>
    <w:rPr>
      <w:rFonts w:ascii="XO Thames" w:hAnsi="XO Thames"/>
      <w:color w:val="000000"/>
      <w:sz w:val="28"/>
    </w:rPr>
  </w:style>
  <w:style w:styleId="Style_19_ch" w:type="character">
    <w:name w:val="toc 7"/>
    <w:link w:val="Style_19"/>
    <w:rPr>
      <w:rFonts w:ascii="XO Thames" w:hAnsi="XO Thames"/>
      <w:color w:val="000000"/>
      <w:sz w:val="28"/>
    </w:rPr>
  </w:style>
  <w:style w:styleId="Style_20" w:type="paragraph">
    <w:name w:val="Цветовое выделение"/>
    <w:link w:val="Style_20_ch"/>
    <w:rPr>
      <w:b w:val="1"/>
      <w:color w:val="000080"/>
    </w:rPr>
  </w:style>
  <w:style w:styleId="Style_20_ch" w:type="character">
    <w:name w:val="Цветовое выделение"/>
    <w:link w:val="Style_20"/>
    <w:rPr>
      <w:b w:val="1"/>
      <w:color w:val="000080"/>
    </w:rPr>
  </w:style>
  <w:style w:styleId="Style_21" w:type="paragraph">
    <w:name w:val="Заголовок чужого сообщения"/>
    <w:link w:val="Style_21_ch"/>
    <w:rPr>
      <w:b w:val="1"/>
      <w:color w:val="FF0000"/>
    </w:rPr>
  </w:style>
  <w:style w:styleId="Style_21_ch" w:type="character">
    <w:name w:val="Заголовок чужого сообщения"/>
    <w:link w:val="Style_21"/>
    <w:rPr>
      <w:b w:val="1"/>
      <w:color w:val="FF0000"/>
    </w:rPr>
  </w:style>
  <w:style w:styleId="Style_22" w:type="paragraph">
    <w:name w:val="Продолжение ссылки"/>
    <w:link w:val="Style_22_ch"/>
    <w:rPr>
      <w:b w:val="1"/>
      <w:color w:val="008000"/>
    </w:rPr>
  </w:style>
  <w:style w:styleId="Style_22_ch" w:type="character">
    <w:name w:val="Продолжение ссылки"/>
    <w:link w:val="Style_22"/>
    <w:rPr>
      <w:b w:val="1"/>
      <w:color w:val="008000"/>
    </w:rPr>
  </w:style>
  <w:style w:styleId="Style_23" w:type="paragraph">
    <w:name w:val="Нижний колонтитул Знак1"/>
    <w:link w:val="Style_23_ch"/>
    <w:rPr>
      <w:color w:val="000000"/>
    </w:rPr>
  </w:style>
  <w:style w:styleId="Style_23_ch" w:type="character">
    <w:name w:val="Нижний колонтитул Знак1"/>
    <w:link w:val="Style_23"/>
    <w:rPr>
      <w:color w:val="000000"/>
    </w:rPr>
  </w:style>
  <w:style w:styleId="Style_24" w:type="paragraph">
    <w:name w:val="Body Text Indent 2"/>
    <w:basedOn w:val="Style_2"/>
    <w:link w:val="Style_24_ch"/>
    <w:pPr>
      <w:ind w:firstLine="702"/>
      <w:jc w:val="both"/>
    </w:pPr>
    <w:rPr>
      <w:sz w:val="28"/>
    </w:rPr>
  </w:style>
  <w:style w:styleId="Style_24_ch" w:type="character">
    <w:name w:val="Body Text Indent 2"/>
    <w:basedOn w:val="Style_2_ch"/>
    <w:link w:val="Style_24"/>
    <w:rPr>
      <w:sz w:val="28"/>
    </w:rPr>
  </w:style>
  <w:style w:styleId="Style_25" w:type="paragraph">
    <w:name w:val="ConsPlusCell"/>
    <w:link w:val="Style_25_ch"/>
    <w:rPr>
      <w:color w:val="000000"/>
      <w:sz w:val="28"/>
    </w:rPr>
  </w:style>
  <w:style w:styleId="Style_25_ch" w:type="character">
    <w:name w:val="ConsPlusCell"/>
    <w:link w:val="Style_25"/>
    <w:rPr>
      <w:color w:val="000000"/>
      <w:sz w:val="28"/>
    </w:rPr>
  </w:style>
  <w:style w:styleId="Style_26" w:type="paragraph">
    <w:name w:val="Заголовок статьи"/>
    <w:basedOn w:val="Style_2"/>
    <w:next w:val="Style_2"/>
    <w:link w:val="Style_26_ch"/>
    <w:pPr>
      <w:widowControl w:val="0"/>
      <w:ind w:hanging="892" w:left="1612"/>
      <w:jc w:val="both"/>
    </w:pPr>
    <w:rPr>
      <w:rFonts w:ascii="Arial" w:hAnsi="Arial"/>
    </w:rPr>
  </w:style>
  <w:style w:styleId="Style_26_ch" w:type="character">
    <w:name w:val="Заголовок статьи"/>
    <w:basedOn w:val="Style_2_ch"/>
    <w:link w:val="Style_26"/>
    <w:rPr>
      <w:rFonts w:ascii="Arial" w:hAnsi="Arial"/>
    </w:rPr>
  </w:style>
  <w:style w:styleId="Style_27" w:type="paragraph">
    <w:name w:val="Endnote"/>
    <w:link w:val="Style_27_ch"/>
    <w:pPr>
      <w:ind w:firstLine="851"/>
      <w:jc w:val="both"/>
    </w:pPr>
    <w:rPr>
      <w:rFonts w:ascii="XO Thames" w:hAnsi="XO Thames"/>
      <w:color w:val="000000"/>
      <w:sz w:val="22"/>
    </w:rPr>
  </w:style>
  <w:style w:styleId="Style_27_ch" w:type="character">
    <w:name w:val="Endnote"/>
    <w:link w:val="Style_27"/>
    <w:rPr>
      <w:rFonts w:ascii="XO Thames" w:hAnsi="XO Thames"/>
      <w:color w:val="000000"/>
      <w:sz w:val="22"/>
    </w:rPr>
  </w:style>
  <w:style w:styleId="Style_28" w:type="paragraph">
    <w:name w:val="heading 3"/>
    <w:basedOn w:val="Style_29"/>
    <w:next w:val="Style_2"/>
    <w:link w:val="Style_28_ch"/>
    <w:uiPriority w:val="9"/>
    <w:qFormat/>
    <w:pPr>
      <w:keepNext w:val="0"/>
      <w:widowControl w:val="0"/>
      <w:ind/>
      <w:jc w:val="both"/>
      <w:outlineLvl w:val="2"/>
    </w:pPr>
    <w:rPr>
      <w:rFonts w:ascii="Arial" w:hAnsi="Arial"/>
      <w:b w:val="0"/>
      <w:sz w:val="24"/>
    </w:rPr>
  </w:style>
  <w:style w:styleId="Style_28_ch" w:type="character">
    <w:name w:val="heading 3"/>
    <w:basedOn w:val="Style_29_ch"/>
    <w:link w:val="Style_28"/>
    <w:rPr>
      <w:rFonts w:ascii="Arial" w:hAnsi="Arial"/>
      <w:b w:val="0"/>
      <w:sz w:val="24"/>
    </w:rPr>
  </w:style>
  <w:style w:styleId="Style_30" w:type="paragraph">
    <w:name w:val="Гиперссылка22"/>
    <w:link w:val="Style_30_ch"/>
    <w:rPr>
      <w:color w:val="0000FF"/>
      <w:u w:val="single"/>
    </w:rPr>
  </w:style>
  <w:style w:styleId="Style_30_ch" w:type="character">
    <w:name w:val="Гиперссылка22"/>
    <w:link w:val="Style_30"/>
    <w:rPr>
      <w:color w:val="0000FF"/>
      <w:u w:val="single"/>
    </w:rPr>
  </w:style>
  <w:style w:styleId="Style_31" w:type="paragraph">
    <w:name w:val="Основной текст Знак1"/>
    <w:link w:val="Style_31_ch"/>
    <w:rPr>
      <w:color w:val="000000"/>
      <w:sz w:val="28"/>
    </w:rPr>
  </w:style>
  <w:style w:styleId="Style_31_ch" w:type="character">
    <w:name w:val="Основной текст Знак1"/>
    <w:link w:val="Style_31"/>
    <w:rPr>
      <w:color w:val="000000"/>
      <w:sz w:val="28"/>
    </w:rPr>
  </w:style>
  <w:style w:styleId="Style_32" w:type="paragraph">
    <w:name w:val="ConsPlusTitle"/>
    <w:link w:val="Style_32_ch"/>
    <w:pPr>
      <w:widowControl w:val="0"/>
      <w:ind/>
    </w:pPr>
    <w:rPr>
      <w:rFonts w:ascii="Arial" w:hAnsi="Arial"/>
      <w:b w:val="1"/>
      <w:color w:val="000000"/>
    </w:rPr>
  </w:style>
  <w:style w:styleId="Style_32_ch" w:type="character">
    <w:name w:val="ConsPlusTitle"/>
    <w:link w:val="Style_32"/>
    <w:rPr>
      <w:rFonts w:ascii="Arial" w:hAnsi="Arial"/>
      <w:b w:val="1"/>
      <w:color w:val="000000"/>
    </w:rPr>
  </w:style>
  <w:style w:styleId="Style_33" w:type="paragraph">
    <w:name w:val="Найденные слова"/>
    <w:link w:val="Style_33_ch"/>
    <w:rPr>
      <w:b w:val="1"/>
      <w:color w:val="000080"/>
    </w:rPr>
  </w:style>
  <w:style w:styleId="Style_33_ch" w:type="character">
    <w:name w:val="Найденные слова"/>
    <w:link w:val="Style_33"/>
    <w:rPr>
      <w:b w:val="1"/>
      <w:color w:val="000080"/>
    </w:rPr>
  </w:style>
  <w:style w:styleId="Style_34" w:type="paragraph">
    <w:name w:val="Нормальный (таблица)"/>
    <w:basedOn w:val="Style_2"/>
    <w:next w:val="Style_2"/>
    <w:link w:val="Style_34_ch"/>
    <w:pPr>
      <w:widowControl w:val="0"/>
      <w:ind/>
      <w:jc w:val="both"/>
    </w:pPr>
    <w:rPr>
      <w:rFonts w:ascii="Arial" w:hAnsi="Arial"/>
    </w:rPr>
  </w:style>
  <w:style w:styleId="Style_34_ch" w:type="character">
    <w:name w:val="Нормальный (таблица)"/>
    <w:basedOn w:val="Style_2_ch"/>
    <w:link w:val="Style_34"/>
    <w:rPr>
      <w:rFonts w:ascii="Arial" w:hAnsi="Arial"/>
    </w:rPr>
  </w:style>
  <w:style w:styleId="Style_35" w:type="paragraph">
    <w:name w:val="Гиперссылка122"/>
    <w:link w:val="Style_35_ch"/>
    <w:rPr>
      <w:color w:val="0000FF"/>
      <w:u w:val="single"/>
    </w:rPr>
  </w:style>
  <w:style w:styleId="Style_35_ch" w:type="character">
    <w:name w:val="Гиперссылка122"/>
    <w:link w:val="Style_35"/>
    <w:rPr>
      <w:color w:val="0000FF"/>
      <w:u w:val="single"/>
    </w:rPr>
  </w:style>
  <w:style w:styleId="Style_36" w:type="paragraph">
    <w:name w:val="Footer Char"/>
    <w:link w:val="Style_36_ch"/>
    <w:rPr>
      <w:color w:val="000000"/>
    </w:rPr>
  </w:style>
  <w:style w:styleId="Style_36_ch" w:type="character">
    <w:name w:val="Footer Char"/>
    <w:link w:val="Style_36"/>
    <w:rPr>
      <w:color w:val="000000"/>
    </w:rPr>
  </w:style>
  <w:style w:styleId="Style_37" w:type="paragraph">
    <w:name w:val="Plain Text"/>
    <w:basedOn w:val="Style_2"/>
    <w:link w:val="Style_37_ch"/>
    <w:pPr>
      <w:spacing w:after="64" w:before="64"/>
      <w:ind/>
    </w:pPr>
    <w:rPr>
      <w:rFonts w:ascii="Arial" w:hAnsi="Arial"/>
      <w:sz w:val="20"/>
    </w:rPr>
  </w:style>
  <w:style w:styleId="Style_37_ch" w:type="character">
    <w:name w:val="Plain Text"/>
    <w:basedOn w:val="Style_2_ch"/>
    <w:link w:val="Style_37"/>
    <w:rPr>
      <w:rFonts w:ascii="Arial" w:hAnsi="Arial"/>
      <w:sz w:val="20"/>
    </w:rPr>
  </w:style>
  <w:style w:styleId="Style_38" w:type="paragraph">
    <w:name w:val="Знак сноски1"/>
    <w:link w:val="Style_38_ch"/>
    <w:rPr>
      <w:color w:val="000000"/>
      <w:vertAlign w:val="superscript"/>
    </w:rPr>
  </w:style>
  <w:style w:styleId="Style_38_ch" w:type="character">
    <w:name w:val="Знак сноски1"/>
    <w:link w:val="Style_38"/>
    <w:rPr>
      <w:color w:val="000000"/>
      <w:vertAlign w:val="superscript"/>
    </w:rPr>
  </w:style>
  <w:style w:styleId="Style_39" w:type="paragraph">
    <w:name w:val="Знак Знак Знак Знак6"/>
    <w:basedOn w:val="Style_2"/>
    <w:link w:val="Style_39_ch"/>
    <w:pPr>
      <w:spacing w:afterAutospacing="on" w:beforeAutospacing="on"/>
      <w:ind/>
      <w:jc w:val="both"/>
    </w:pPr>
    <w:rPr>
      <w:rFonts w:ascii="Tahoma" w:hAnsi="Tahoma"/>
      <w:sz w:val="20"/>
    </w:rPr>
  </w:style>
  <w:style w:styleId="Style_39_ch" w:type="character">
    <w:name w:val="Знак Знак Знак Знак6"/>
    <w:basedOn w:val="Style_2_ch"/>
    <w:link w:val="Style_39"/>
    <w:rPr>
      <w:rFonts w:ascii="Tahoma" w:hAnsi="Tahoma"/>
      <w:sz w:val="20"/>
    </w:rPr>
  </w:style>
  <w:style w:styleId="Style_40" w:type="paragraph">
    <w:name w:val="Куда обратиться?"/>
    <w:basedOn w:val="Style_2"/>
    <w:next w:val="Style_2"/>
    <w:link w:val="Style_40_ch"/>
    <w:pPr>
      <w:widowControl w:val="0"/>
      <w:ind/>
      <w:jc w:val="both"/>
    </w:pPr>
    <w:rPr>
      <w:rFonts w:ascii="Arial" w:hAnsi="Arial"/>
    </w:rPr>
  </w:style>
  <w:style w:styleId="Style_40_ch" w:type="character">
    <w:name w:val="Куда обратиться?"/>
    <w:basedOn w:val="Style_2_ch"/>
    <w:link w:val="Style_40"/>
    <w:rPr>
      <w:rFonts w:ascii="Arial" w:hAnsi="Arial"/>
    </w:rPr>
  </w:style>
  <w:style w:styleId="Style_41" w:type="paragraph">
    <w:name w:val="Знак Знак Знак Знак2"/>
    <w:basedOn w:val="Style_2"/>
    <w:link w:val="Style_41_ch"/>
    <w:pPr>
      <w:spacing w:afterAutospacing="on" w:beforeAutospacing="on"/>
      <w:ind/>
      <w:jc w:val="both"/>
    </w:pPr>
    <w:rPr>
      <w:rFonts w:ascii="Tahoma" w:hAnsi="Tahoma"/>
      <w:sz w:val="20"/>
    </w:rPr>
  </w:style>
  <w:style w:styleId="Style_41_ch" w:type="character">
    <w:name w:val="Знак Знак Знак Знак2"/>
    <w:basedOn w:val="Style_2_ch"/>
    <w:link w:val="Style_41"/>
    <w:rPr>
      <w:rFonts w:ascii="Tahoma" w:hAnsi="Tahoma"/>
      <w:sz w:val="20"/>
    </w:rPr>
  </w:style>
  <w:style w:styleId="Style_42" w:type="paragraph">
    <w:name w:val="Гиперссылка121"/>
    <w:link w:val="Style_42_ch"/>
    <w:rPr>
      <w:color w:val="0000FF"/>
      <w:u w:val="single"/>
    </w:rPr>
  </w:style>
  <w:style w:styleId="Style_42_ch" w:type="character">
    <w:name w:val="Гиперссылка121"/>
    <w:link w:val="Style_42"/>
    <w:rPr>
      <w:color w:val="0000FF"/>
      <w:u w:val="single"/>
    </w:rPr>
  </w:style>
  <w:style w:styleId="Style_43" w:type="paragraph">
    <w:name w:val="Сравнение редакций"/>
    <w:link w:val="Style_43_ch"/>
    <w:rPr>
      <w:b w:val="1"/>
      <w:color w:val="000080"/>
    </w:rPr>
  </w:style>
  <w:style w:styleId="Style_43_ch" w:type="character">
    <w:name w:val="Сравнение редакций"/>
    <w:link w:val="Style_43"/>
    <w:rPr>
      <w:b w:val="1"/>
      <w:color w:val="000080"/>
    </w:rPr>
  </w:style>
  <w:style w:styleId="Style_44" w:type="paragraph">
    <w:name w:val="Normal (Web)"/>
    <w:basedOn w:val="Style_2"/>
    <w:link w:val="Style_44_ch"/>
    <w:pPr>
      <w:spacing w:afterAutospacing="on" w:beforeAutospacing="on"/>
      <w:ind/>
    </w:pPr>
  </w:style>
  <w:style w:styleId="Style_44_ch" w:type="character">
    <w:name w:val="Normal (Web)"/>
    <w:basedOn w:val="Style_2_ch"/>
    <w:link w:val="Style_44"/>
  </w:style>
  <w:style w:styleId="Style_45" w:type="paragraph">
    <w:name w:val="Знак Знак Знак Знак Знак Знак"/>
    <w:basedOn w:val="Style_2"/>
    <w:link w:val="Style_45_ch"/>
    <w:pPr>
      <w:spacing w:afterAutospacing="on" w:beforeAutospacing="on"/>
      <w:ind/>
      <w:jc w:val="both"/>
    </w:pPr>
    <w:rPr>
      <w:rFonts w:ascii="Tahoma" w:hAnsi="Tahoma"/>
      <w:sz w:val="20"/>
    </w:rPr>
  </w:style>
  <w:style w:styleId="Style_45_ch" w:type="character">
    <w:name w:val="Знак Знак Знак Знак Знак Знак"/>
    <w:basedOn w:val="Style_2_ch"/>
    <w:link w:val="Style_45"/>
    <w:rPr>
      <w:rFonts w:ascii="Tahoma" w:hAnsi="Tahoma"/>
      <w:sz w:val="20"/>
    </w:rPr>
  </w:style>
  <w:style w:styleId="Style_46" w:type="paragraph">
    <w:name w:val="Обычный12"/>
    <w:link w:val="Style_46_ch"/>
    <w:rPr>
      <w:color w:val="000000"/>
      <w:sz w:val="24"/>
    </w:rPr>
  </w:style>
  <w:style w:styleId="Style_46_ch" w:type="character">
    <w:name w:val="Обычный12"/>
    <w:link w:val="Style_46"/>
    <w:rPr>
      <w:color w:val="000000"/>
      <w:sz w:val="24"/>
    </w:rPr>
  </w:style>
  <w:style w:styleId="Style_47" w:type="paragraph">
    <w:name w:val="Абзац списка22"/>
    <w:basedOn w:val="Style_2"/>
    <w:link w:val="Style_47_ch"/>
    <w:pPr>
      <w:spacing w:line="276" w:lineRule="auto"/>
      <w:ind w:firstLine="709" w:left="720"/>
      <w:contextualSpacing w:val="1"/>
      <w:jc w:val="both"/>
    </w:pPr>
    <w:rPr>
      <w:sz w:val="28"/>
    </w:rPr>
  </w:style>
  <w:style w:styleId="Style_47_ch" w:type="character">
    <w:name w:val="Абзац списка22"/>
    <w:basedOn w:val="Style_2_ch"/>
    <w:link w:val="Style_47"/>
    <w:rPr>
      <w:sz w:val="28"/>
    </w:rPr>
  </w:style>
  <w:style w:styleId="Style_48" w:type="paragraph">
    <w:name w:val="Абзац списка2"/>
    <w:basedOn w:val="Style_2"/>
    <w:link w:val="Style_48_ch"/>
    <w:rPr>
      <w:sz w:val="20"/>
    </w:rPr>
  </w:style>
  <w:style w:styleId="Style_48_ch" w:type="character">
    <w:name w:val="Абзац списка2"/>
    <w:basedOn w:val="Style_2_ch"/>
    <w:link w:val="Style_48"/>
    <w:rPr>
      <w:sz w:val="20"/>
    </w:rPr>
  </w:style>
  <w:style w:styleId="Style_49" w:type="paragraph">
    <w:name w:val="Body Text First Indent"/>
    <w:basedOn w:val="Style_2"/>
    <w:link w:val="Style_49_ch"/>
    <w:pPr>
      <w:ind w:firstLine="210"/>
    </w:pPr>
    <w:rPr>
      <w:rFonts w:ascii="Arial" w:hAnsi="Arial"/>
      <w:sz w:val="28"/>
    </w:rPr>
  </w:style>
  <w:style w:styleId="Style_49_ch" w:type="character">
    <w:name w:val="Body Text First Indent"/>
    <w:basedOn w:val="Style_2_ch"/>
    <w:link w:val="Style_49"/>
    <w:rPr>
      <w:rFonts w:ascii="Arial" w:hAnsi="Arial"/>
      <w:sz w:val="28"/>
    </w:rPr>
  </w:style>
  <w:style w:styleId="Style_50" w:type="paragraph">
    <w:name w:val="Гипертекстовая ссылка"/>
    <w:link w:val="Style_50_ch"/>
    <w:rPr>
      <w:color w:val="008000"/>
    </w:rPr>
  </w:style>
  <w:style w:styleId="Style_50_ch" w:type="character">
    <w:name w:val="Гипертекстовая ссылка"/>
    <w:link w:val="Style_50"/>
    <w:rPr>
      <w:color w:val="008000"/>
    </w:rPr>
  </w:style>
  <w:style w:styleId="Style_51" w:type="paragraph">
    <w:name w:val="Гиперссылка2"/>
    <w:link w:val="Style_51_ch"/>
    <w:rPr>
      <w:color w:val="0000FF"/>
      <w:u w:val="single"/>
    </w:rPr>
  </w:style>
  <w:style w:styleId="Style_51_ch" w:type="character">
    <w:name w:val="Гиперссылка2"/>
    <w:link w:val="Style_51"/>
    <w:rPr>
      <w:color w:val="0000FF"/>
      <w:u w:val="single"/>
    </w:rPr>
  </w:style>
  <w:style w:styleId="Style_52" w:type="paragraph">
    <w:name w:val="Основной шрифт абзаца11"/>
    <w:link w:val="Style_52_ch"/>
    <w:rPr>
      <w:color w:val="000000"/>
    </w:rPr>
  </w:style>
  <w:style w:styleId="Style_52_ch" w:type="character">
    <w:name w:val="Основной шрифт абзаца11"/>
    <w:link w:val="Style_52"/>
    <w:rPr>
      <w:color w:val="000000"/>
    </w:rPr>
  </w:style>
  <w:style w:styleId="Style_53" w:type="paragraph">
    <w:name w:val="Постоянная часть"/>
    <w:basedOn w:val="Style_10"/>
    <w:next w:val="Style_2"/>
    <w:link w:val="Style_53_ch"/>
    <w:rPr>
      <w:rFonts w:ascii="Arial" w:hAnsi="Arial"/>
      <w:sz w:val="22"/>
    </w:rPr>
  </w:style>
  <w:style w:styleId="Style_53_ch" w:type="character">
    <w:name w:val="Постоянная часть"/>
    <w:basedOn w:val="Style_10_ch"/>
    <w:link w:val="Style_53"/>
    <w:rPr>
      <w:rFonts w:ascii="Arial" w:hAnsi="Arial"/>
      <w:sz w:val="22"/>
    </w:rPr>
  </w:style>
  <w:style w:styleId="Style_54" w:type="paragraph">
    <w:name w:val="List Paragraph1"/>
    <w:basedOn w:val="Style_2"/>
    <w:link w:val="Style_54_ch"/>
    <w:rPr>
      <w:sz w:val="20"/>
    </w:rPr>
  </w:style>
  <w:style w:styleId="Style_54_ch" w:type="character">
    <w:name w:val="List Paragraph1"/>
    <w:basedOn w:val="Style_2_ch"/>
    <w:link w:val="Style_54"/>
    <w:rPr>
      <w:sz w:val="20"/>
    </w:rPr>
  </w:style>
  <w:style w:styleId="Style_55" w:type="paragraph">
    <w:name w:val="Знак Знак Знак Знак5"/>
    <w:basedOn w:val="Style_2"/>
    <w:link w:val="Style_55_ch"/>
    <w:pPr>
      <w:spacing w:afterAutospacing="on" w:beforeAutospacing="on"/>
      <w:ind/>
      <w:jc w:val="both"/>
    </w:pPr>
    <w:rPr>
      <w:rFonts w:ascii="Tahoma" w:hAnsi="Tahoma"/>
      <w:sz w:val="20"/>
    </w:rPr>
  </w:style>
  <w:style w:styleId="Style_55_ch" w:type="character">
    <w:name w:val="Знак Знак Знак Знак5"/>
    <w:basedOn w:val="Style_2_ch"/>
    <w:link w:val="Style_55"/>
    <w:rPr>
      <w:rFonts w:ascii="Tahoma" w:hAnsi="Tahoma"/>
      <w:sz w:val="20"/>
    </w:rPr>
  </w:style>
  <w:style w:styleId="Style_56" w:type="paragraph">
    <w:name w:val="Абзац списка7"/>
    <w:basedOn w:val="Style_2"/>
    <w:link w:val="Style_56_ch"/>
    <w:pPr>
      <w:spacing w:line="276" w:lineRule="auto"/>
      <w:ind w:firstLine="709" w:left="720"/>
      <w:contextualSpacing w:val="1"/>
      <w:jc w:val="both"/>
    </w:pPr>
    <w:rPr>
      <w:sz w:val="28"/>
    </w:rPr>
  </w:style>
  <w:style w:styleId="Style_56_ch" w:type="character">
    <w:name w:val="Абзац списка7"/>
    <w:basedOn w:val="Style_2_ch"/>
    <w:link w:val="Style_56"/>
    <w:rPr>
      <w:sz w:val="28"/>
    </w:rPr>
  </w:style>
  <w:style w:styleId="Style_57" w:type="paragraph">
    <w:name w:val="Словарная статья"/>
    <w:basedOn w:val="Style_2"/>
    <w:next w:val="Style_2"/>
    <w:link w:val="Style_57_ch"/>
    <w:pPr>
      <w:widowControl w:val="0"/>
      <w:ind w:right="118"/>
      <w:jc w:val="both"/>
    </w:pPr>
    <w:rPr>
      <w:rFonts w:ascii="Arial" w:hAnsi="Arial"/>
    </w:rPr>
  </w:style>
  <w:style w:styleId="Style_57_ch" w:type="character">
    <w:name w:val="Словарная статья"/>
    <w:basedOn w:val="Style_2_ch"/>
    <w:link w:val="Style_57"/>
    <w:rPr>
      <w:rFonts w:ascii="Arial" w:hAnsi="Arial"/>
    </w:rPr>
  </w:style>
  <w:style w:styleId="Style_58" w:type="paragraph">
    <w:name w:val="Footer Char11"/>
    <w:link w:val="Style_58_ch"/>
    <w:rPr>
      <w:color w:val="000000"/>
    </w:rPr>
  </w:style>
  <w:style w:styleId="Style_58_ch" w:type="character">
    <w:name w:val="Footer Char11"/>
    <w:link w:val="Style_58"/>
    <w:rPr>
      <w:color w:val="000000"/>
    </w:rPr>
  </w:style>
  <w:style w:styleId="Style_59" w:type="paragraph">
    <w:name w:val="Текст (справка)"/>
    <w:basedOn w:val="Style_2"/>
    <w:next w:val="Style_2"/>
    <w:link w:val="Style_59_ch"/>
    <w:pPr>
      <w:widowControl w:val="0"/>
      <w:ind w:left="170" w:right="170"/>
    </w:pPr>
    <w:rPr>
      <w:rFonts w:ascii="Arial" w:hAnsi="Arial"/>
    </w:rPr>
  </w:style>
  <w:style w:styleId="Style_59_ch" w:type="character">
    <w:name w:val="Текст (справка)"/>
    <w:basedOn w:val="Style_2_ch"/>
    <w:link w:val="Style_59"/>
    <w:rPr>
      <w:rFonts w:ascii="Arial" w:hAnsi="Arial"/>
    </w:rPr>
  </w:style>
  <w:style w:styleId="Style_60" w:type="paragraph">
    <w:name w:val="Style1"/>
    <w:basedOn w:val="Style_2"/>
    <w:link w:val="Style_60_ch"/>
    <w:pPr>
      <w:widowControl w:val="0"/>
      <w:spacing w:line="326" w:lineRule="exact"/>
      <w:ind/>
    </w:pPr>
  </w:style>
  <w:style w:styleId="Style_60_ch" w:type="character">
    <w:name w:val="Style1"/>
    <w:basedOn w:val="Style_2_ch"/>
    <w:link w:val="Style_60"/>
  </w:style>
  <w:style w:styleId="Style_61" w:type="paragraph">
    <w:name w:val="Обычный16"/>
    <w:link w:val="Style_61_ch"/>
    <w:rPr>
      <w:color w:val="000000"/>
      <w:sz w:val="24"/>
    </w:rPr>
  </w:style>
  <w:style w:styleId="Style_61_ch" w:type="character">
    <w:name w:val="Обычный16"/>
    <w:link w:val="Style_61"/>
    <w:rPr>
      <w:color w:val="000000"/>
      <w:sz w:val="24"/>
    </w:rPr>
  </w:style>
  <w:style w:styleId="Style_62" w:type="paragraph">
    <w:name w:val="a3"/>
    <w:basedOn w:val="Style_2"/>
    <w:link w:val="Style_62_ch"/>
    <w:pPr>
      <w:spacing w:after="64" w:before="64"/>
      <w:ind/>
    </w:pPr>
    <w:rPr>
      <w:rFonts w:ascii="Arial" w:hAnsi="Arial"/>
      <w:sz w:val="20"/>
    </w:rPr>
  </w:style>
  <w:style w:styleId="Style_62_ch" w:type="character">
    <w:name w:val="a3"/>
    <w:basedOn w:val="Style_2_ch"/>
    <w:link w:val="Style_62"/>
    <w:rPr>
      <w:rFonts w:ascii="Arial" w:hAnsi="Arial"/>
      <w:sz w:val="20"/>
    </w:rPr>
  </w:style>
  <w:style w:styleId="Style_63" w:type="paragraph">
    <w:name w:val="Строгий1"/>
    <w:link w:val="Style_63_ch"/>
    <w:rPr>
      <w:b w:val="1"/>
      <w:color w:val="000000"/>
    </w:rPr>
  </w:style>
  <w:style w:styleId="Style_63_ch" w:type="character">
    <w:name w:val="Строгий1"/>
    <w:link w:val="Style_63"/>
    <w:rPr>
      <w:b w:val="1"/>
      <w:color w:val="000000"/>
    </w:rPr>
  </w:style>
  <w:style w:styleId="Style_64" w:type="paragraph">
    <w:name w:val="Абзац списка4"/>
    <w:basedOn w:val="Style_2"/>
    <w:link w:val="Style_64_ch"/>
    <w:pPr>
      <w:spacing w:line="276" w:lineRule="auto"/>
      <w:ind w:firstLine="709" w:left="720"/>
      <w:contextualSpacing w:val="1"/>
      <w:jc w:val="both"/>
    </w:pPr>
    <w:rPr>
      <w:sz w:val="28"/>
    </w:rPr>
  </w:style>
  <w:style w:styleId="Style_64_ch" w:type="character">
    <w:name w:val="Абзац списка4"/>
    <w:basedOn w:val="Style_2_ch"/>
    <w:link w:val="Style_64"/>
    <w:rPr>
      <w:sz w:val="28"/>
    </w:rPr>
  </w:style>
  <w:style w:styleId="Style_65" w:type="paragraph">
    <w:name w:val="toc 3"/>
    <w:next w:val="Style_2"/>
    <w:link w:val="Style_65_ch"/>
    <w:uiPriority w:val="39"/>
    <w:pPr>
      <w:ind w:left="400"/>
    </w:pPr>
    <w:rPr>
      <w:rFonts w:ascii="XO Thames" w:hAnsi="XO Thames"/>
      <w:color w:val="000000"/>
      <w:sz w:val="28"/>
    </w:rPr>
  </w:style>
  <w:style w:styleId="Style_65_ch" w:type="character">
    <w:name w:val="toc 3"/>
    <w:link w:val="Style_65"/>
    <w:rPr>
      <w:rFonts w:ascii="XO Thames" w:hAnsi="XO Thames"/>
      <w:color w:val="000000"/>
      <w:sz w:val="28"/>
    </w:rPr>
  </w:style>
  <w:style w:styleId="Style_66" w:type="paragraph">
    <w:name w:val="Основной текст с отступом 21"/>
    <w:basedOn w:val="Style_2"/>
    <w:link w:val="Style_66_ch"/>
    <w:pPr>
      <w:ind w:firstLine="720"/>
      <w:jc w:val="both"/>
    </w:pPr>
    <w:rPr>
      <w:sz w:val="28"/>
    </w:rPr>
  </w:style>
  <w:style w:styleId="Style_66_ch" w:type="character">
    <w:name w:val="Основной текст с отступом 21"/>
    <w:basedOn w:val="Style_2_ch"/>
    <w:link w:val="Style_66"/>
    <w:rPr>
      <w:sz w:val="28"/>
    </w:rPr>
  </w:style>
  <w:style w:styleId="Style_67" w:type="paragraph">
    <w:name w:val="Основной шрифт абзаца2"/>
    <w:link w:val="Style_67_ch"/>
    <w:rPr>
      <w:color w:val="000000"/>
    </w:rPr>
  </w:style>
  <w:style w:styleId="Style_67_ch" w:type="character">
    <w:name w:val="Основной шрифт абзаца2"/>
    <w:link w:val="Style_67"/>
    <w:rPr>
      <w:color w:val="000000"/>
    </w:rPr>
  </w:style>
  <w:style w:styleId="Style_68" w:type="paragraph">
    <w:name w:val="Знак Знак Знак11"/>
    <w:basedOn w:val="Style_2"/>
    <w:link w:val="Style_68_ch"/>
    <w:pPr>
      <w:spacing w:afterAutospacing="on" w:beforeAutospacing="on"/>
      <w:ind/>
    </w:pPr>
    <w:rPr>
      <w:rFonts w:ascii="Tahoma" w:hAnsi="Tahoma"/>
      <w:sz w:val="20"/>
    </w:rPr>
  </w:style>
  <w:style w:styleId="Style_68_ch" w:type="character">
    <w:name w:val="Знак Знак Знак11"/>
    <w:basedOn w:val="Style_2_ch"/>
    <w:link w:val="Style_68"/>
    <w:rPr>
      <w:rFonts w:ascii="Tahoma" w:hAnsi="Tahoma"/>
      <w:sz w:val="20"/>
    </w:rPr>
  </w:style>
  <w:style w:styleId="Style_69" w:type="paragraph">
    <w:name w:val="Необходимые документы"/>
    <w:basedOn w:val="Style_2"/>
    <w:next w:val="Style_2"/>
    <w:link w:val="Style_69_ch"/>
    <w:pPr>
      <w:widowControl w:val="0"/>
      <w:ind w:left="118"/>
      <w:jc w:val="both"/>
    </w:pPr>
    <w:rPr>
      <w:rFonts w:ascii="Arial" w:hAnsi="Arial"/>
    </w:rPr>
  </w:style>
  <w:style w:styleId="Style_69_ch" w:type="character">
    <w:name w:val="Необходимые документы"/>
    <w:basedOn w:val="Style_2_ch"/>
    <w:link w:val="Style_69"/>
    <w:rPr>
      <w:rFonts w:ascii="Arial" w:hAnsi="Arial"/>
    </w:rPr>
  </w:style>
  <w:style w:styleId="Style_70" w:type="paragraph">
    <w:name w:val="Не вступил в силу"/>
    <w:link w:val="Style_70_ch"/>
    <w:rPr>
      <w:b w:val="1"/>
      <w:color w:val="008080"/>
    </w:rPr>
  </w:style>
  <w:style w:styleId="Style_70_ch" w:type="character">
    <w:name w:val="Не вступил в силу"/>
    <w:link w:val="Style_70"/>
    <w:rPr>
      <w:b w:val="1"/>
      <w:color w:val="008080"/>
    </w:rPr>
  </w:style>
  <w:style w:styleId="Style_71" w:type="paragraph">
    <w:name w:val="Адресат"/>
    <w:basedOn w:val="Style_2"/>
    <w:link w:val="Style_71_ch"/>
    <w:pPr>
      <w:ind w:firstLine="567"/>
      <w:jc w:val="both"/>
    </w:pPr>
    <w:rPr>
      <w:rFonts w:ascii="Arial" w:hAnsi="Arial"/>
      <w:sz w:val="28"/>
    </w:rPr>
  </w:style>
  <w:style w:styleId="Style_71_ch" w:type="character">
    <w:name w:val="Адресат"/>
    <w:basedOn w:val="Style_2_ch"/>
    <w:link w:val="Style_71"/>
    <w:rPr>
      <w:rFonts w:ascii="Arial" w:hAnsi="Arial"/>
      <w:sz w:val="28"/>
    </w:rPr>
  </w:style>
  <w:style w:styleId="Style_72" w:type="paragraph">
    <w:name w:val="Абзац списка9"/>
    <w:basedOn w:val="Style_2"/>
    <w:link w:val="Style_72_ch"/>
    <w:pPr>
      <w:spacing w:line="276" w:lineRule="auto"/>
      <w:ind w:firstLine="709" w:left="720"/>
      <w:contextualSpacing w:val="1"/>
      <w:jc w:val="both"/>
    </w:pPr>
    <w:rPr>
      <w:sz w:val="28"/>
    </w:rPr>
  </w:style>
  <w:style w:styleId="Style_72_ch" w:type="character">
    <w:name w:val="Абзац списка9"/>
    <w:basedOn w:val="Style_2_ch"/>
    <w:link w:val="Style_72"/>
    <w:rPr>
      <w:sz w:val="28"/>
    </w:rPr>
  </w:style>
  <w:style w:styleId="Style_73" w:type="paragraph">
    <w:name w:val="Заголовок своего сообщения"/>
    <w:link w:val="Style_73_ch"/>
    <w:rPr>
      <w:b w:val="1"/>
      <w:color w:val="000080"/>
    </w:rPr>
  </w:style>
  <w:style w:styleId="Style_73_ch" w:type="character">
    <w:name w:val="Заголовок своего сообщения"/>
    <w:link w:val="Style_73"/>
    <w:rPr>
      <w:b w:val="1"/>
      <w:color w:val="000080"/>
    </w:rPr>
  </w:style>
  <w:style w:styleId="Style_74" w:type="paragraph">
    <w:name w:val="Основной шрифт абзаца1"/>
    <w:link w:val="Style_74_ch"/>
    <w:rPr>
      <w:color w:val="000000"/>
    </w:rPr>
  </w:style>
  <w:style w:styleId="Style_74_ch" w:type="character">
    <w:name w:val="Основной шрифт абзаца1"/>
    <w:link w:val="Style_74"/>
    <w:rPr>
      <w:color w:val="000000"/>
    </w:rPr>
  </w:style>
  <w:style w:styleId="Style_75" w:type="paragraph">
    <w:name w:val="Знак Знак1 Знак"/>
    <w:basedOn w:val="Style_2"/>
    <w:link w:val="Style_75_ch"/>
    <w:pPr>
      <w:spacing w:afterAutospacing="on" w:beforeAutospacing="on"/>
      <w:ind/>
    </w:pPr>
    <w:rPr>
      <w:rFonts w:ascii="Tahoma" w:hAnsi="Tahoma"/>
      <w:sz w:val="20"/>
    </w:rPr>
  </w:style>
  <w:style w:styleId="Style_75_ch" w:type="character">
    <w:name w:val="Знак Знак1 Знак"/>
    <w:basedOn w:val="Style_2_ch"/>
    <w:link w:val="Style_75"/>
    <w:rPr>
      <w:rFonts w:ascii="Tahoma" w:hAnsi="Tahoma"/>
      <w:sz w:val="20"/>
    </w:rPr>
  </w:style>
  <w:style w:styleId="Style_76" w:type="paragraph">
    <w:name w:val="Прижатый влево"/>
    <w:basedOn w:val="Style_2"/>
    <w:next w:val="Style_2"/>
    <w:link w:val="Style_76_ch"/>
    <w:pPr>
      <w:widowControl w:val="0"/>
      <w:ind/>
    </w:pPr>
    <w:rPr>
      <w:rFonts w:ascii="Arial" w:hAnsi="Arial"/>
    </w:rPr>
  </w:style>
  <w:style w:styleId="Style_76_ch" w:type="character">
    <w:name w:val="Прижатый влево"/>
    <w:basedOn w:val="Style_2_ch"/>
    <w:link w:val="Style_76"/>
    <w:rPr>
      <w:rFonts w:ascii="Arial" w:hAnsi="Arial"/>
    </w:rPr>
  </w:style>
  <w:style w:styleId="Style_77" w:type="paragraph">
    <w:name w:val="Центрированный (таблица)"/>
    <w:basedOn w:val="Style_34"/>
    <w:next w:val="Style_2"/>
    <w:link w:val="Style_77_ch"/>
    <w:pPr>
      <w:ind/>
      <w:jc w:val="center"/>
    </w:pPr>
  </w:style>
  <w:style w:styleId="Style_77_ch" w:type="character">
    <w:name w:val="Центрированный (таблица)"/>
    <w:basedOn w:val="Style_34_ch"/>
    <w:link w:val="Style_77"/>
  </w:style>
  <w:style w:styleId="Style_78" w:type="paragraph">
    <w:name w:val="Знак2 Знак Знак Знак Знак Знак Знак Знак Знак Знак Знак Знак Знак Знак Знак Знак"/>
    <w:basedOn w:val="Style_2"/>
    <w:link w:val="Style_78_ch"/>
    <w:pPr>
      <w:spacing w:afterAutospacing="on" w:beforeAutospacing="on"/>
      <w:ind/>
    </w:pPr>
    <w:rPr>
      <w:rFonts w:ascii="Tahoma" w:hAnsi="Tahoma"/>
      <w:sz w:val="20"/>
    </w:rPr>
  </w:style>
  <w:style w:styleId="Style_78_ch" w:type="character">
    <w:name w:val="Знак2 Знак Знак Знак Знак Знак Знак Знак Знак Знак Знак Знак Знак Знак Знак Знак"/>
    <w:basedOn w:val="Style_2_ch"/>
    <w:link w:val="Style_78"/>
    <w:rPr>
      <w:rFonts w:ascii="Tahoma" w:hAnsi="Tahoma"/>
      <w:sz w:val="20"/>
    </w:rPr>
  </w:style>
  <w:style w:styleId="Style_79" w:type="paragraph">
    <w:name w:val="Интерактивный заголовок"/>
    <w:basedOn w:val="Style_80"/>
    <w:next w:val="Style_2"/>
    <w:link w:val="Style_79_ch"/>
    <w:pPr>
      <w:widowControl w:val="0"/>
      <w:spacing w:after="0"/>
      <w:ind/>
      <w:contextualSpacing w:val="0"/>
      <w:jc w:val="both"/>
    </w:pPr>
    <w:rPr>
      <w:rFonts w:ascii="Arial" w:hAnsi="Arial"/>
      <w:color w:val="000000"/>
      <w:spacing w:val="0"/>
      <w:sz w:val="24"/>
      <w:u w:val="single"/>
    </w:rPr>
  </w:style>
  <w:style w:styleId="Style_79_ch" w:type="character">
    <w:name w:val="Интерактивный заголовок"/>
    <w:basedOn w:val="Style_80_ch"/>
    <w:link w:val="Style_79"/>
    <w:rPr>
      <w:rFonts w:ascii="Arial" w:hAnsi="Arial"/>
      <w:color w:val="000000"/>
      <w:spacing w:val="0"/>
      <w:sz w:val="24"/>
      <w:u w:val="single"/>
    </w:rPr>
  </w:style>
  <w:style w:styleId="Style_80" w:type="paragraph">
    <w:name w:val="Название1"/>
    <w:basedOn w:val="Style_2"/>
    <w:next w:val="Style_2"/>
    <w:link w:val="Style_80_ch"/>
    <w:pPr>
      <w:spacing w:after="300"/>
      <w:ind/>
      <w:contextualSpacing w:val="1"/>
    </w:pPr>
    <w:rPr>
      <w:rFonts w:ascii="Cambria" w:hAnsi="Cambria"/>
      <w:color w:val="17365D"/>
      <w:spacing w:val="5"/>
      <w:sz w:val="52"/>
    </w:rPr>
  </w:style>
  <w:style w:styleId="Style_80_ch" w:type="character">
    <w:name w:val="Название1"/>
    <w:basedOn w:val="Style_2_ch"/>
    <w:link w:val="Style_80"/>
    <w:rPr>
      <w:rFonts w:ascii="Cambria" w:hAnsi="Cambria"/>
      <w:color w:val="17365D"/>
      <w:spacing w:val="5"/>
      <w:sz w:val="52"/>
    </w:rPr>
  </w:style>
  <w:style w:styleId="Style_81" w:type="paragraph">
    <w:name w:val="Интерфейс"/>
    <w:basedOn w:val="Style_2"/>
    <w:next w:val="Style_2"/>
    <w:link w:val="Style_81_ch"/>
    <w:pPr>
      <w:widowControl w:val="0"/>
      <w:ind/>
      <w:jc w:val="both"/>
    </w:pPr>
    <w:rPr>
      <w:rFonts w:ascii="Arial" w:hAnsi="Arial"/>
      <w:color w:val="ECE9D8"/>
      <w:sz w:val="22"/>
    </w:rPr>
  </w:style>
  <w:style w:styleId="Style_81_ch" w:type="character">
    <w:name w:val="Интерфейс"/>
    <w:basedOn w:val="Style_2_ch"/>
    <w:link w:val="Style_81"/>
    <w:rPr>
      <w:rFonts w:ascii="Arial" w:hAnsi="Arial"/>
      <w:color w:val="ECE9D8"/>
      <w:sz w:val="22"/>
    </w:rPr>
  </w:style>
  <w:style w:styleId="Style_82" w:type="paragraph">
    <w:name w:val="heading 5"/>
    <w:basedOn w:val="Style_2"/>
    <w:next w:val="Style_2"/>
    <w:link w:val="Style_82_ch"/>
    <w:uiPriority w:val="9"/>
    <w:qFormat/>
    <w:pPr>
      <w:spacing w:after="60" w:before="240"/>
      <w:ind/>
      <w:outlineLvl w:val="4"/>
    </w:pPr>
    <w:rPr>
      <w:rFonts w:ascii="Arial" w:hAnsi="Arial"/>
      <w:b w:val="1"/>
      <w:i w:val="1"/>
      <w:sz w:val="26"/>
    </w:rPr>
  </w:style>
  <w:style w:styleId="Style_82_ch" w:type="character">
    <w:name w:val="heading 5"/>
    <w:basedOn w:val="Style_2_ch"/>
    <w:link w:val="Style_82"/>
    <w:rPr>
      <w:rFonts w:ascii="Arial" w:hAnsi="Arial"/>
      <w:b w:val="1"/>
      <w:i w:val="1"/>
      <w:sz w:val="26"/>
    </w:rPr>
  </w:style>
  <w:style w:styleId="Style_83" w:type="paragraph">
    <w:name w:val="Знак121"/>
    <w:basedOn w:val="Style_2"/>
    <w:link w:val="Style_83_ch"/>
    <w:pPr>
      <w:spacing w:afterAutospacing="on" w:beforeAutospacing="on"/>
      <w:ind/>
    </w:pPr>
    <w:rPr>
      <w:rFonts w:ascii="Tahoma" w:hAnsi="Tahoma"/>
      <w:sz w:val="20"/>
    </w:rPr>
  </w:style>
  <w:style w:styleId="Style_83_ch" w:type="character">
    <w:name w:val="Знак121"/>
    <w:basedOn w:val="Style_2_ch"/>
    <w:link w:val="Style_83"/>
    <w:rPr>
      <w:rFonts w:ascii="Tahoma" w:hAnsi="Tahoma"/>
      <w:sz w:val="20"/>
    </w:rPr>
  </w:style>
  <w:style w:styleId="Style_84" w:type="paragraph">
    <w:name w:val="Комментарий пользователя"/>
    <w:basedOn w:val="Style_85"/>
    <w:next w:val="Style_2"/>
    <w:link w:val="Style_84_ch"/>
    <w:pPr>
      <w:ind w:left="0"/>
      <w:jc w:val="left"/>
    </w:pPr>
    <w:rPr>
      <w:i w:val="0"/>
      <w:color w:val="000080"/>
    </w:rPr>
  </w:style>
  <w:style w:styleId="Style_84_ch" w:type="character">
    <w:name w:val="Комментарий пользователя"/>
    <w:basedOn w:val="Style_85_ch"/>
    <w:link w:val="Style_84"/>
    <w:rPr>
      <w:i w:val="0"/>
      <w:color w:val="000080"/>
    </w:rPr>
  </w:style>
  <w:style w:styleId="Style_86" w:type="paragraph">
    <w:name w:val="Гиперссылка11"/>
    <w:link w:val="Style_86_ch"/>
    <w:rPr>
      <w:color w:val="0000FF"/>
      <w:u w:val="single"/>
    </w:rPr>
  </w:style>
  <w:style w:styleId="Style_86_ch" w:type="character">
    <w:name w:val="Гиперссылка11"/>
    <w:link w:val="Style_86"/>
    <w:rPr>
      <w:color w:val="0000FF"/>
      <w:u w:val="single"/>
    </w:rPr>
  </w:style>
  <w:style w:styleId="Style_87" w:type="paragraph">
    <w:name w:val="Знак1 Знак Знак Знак"/>
    <w:basedOn w:val="Style_2"/>
    <w:link w:val="Style_87_ch"/>
    <w:pPr>
      <w:spacing w:afterAutospacing="on" w:beforeAutospacing="on"/>
      <w:ind/>
    </w:pPr>
    <w:rPr>
      <w:rFonts w:ascii="Tahoma" w:hAnsi="Tahoma"/>
      <w:sz w:val="20"/>
    </w:rPr>
  </w:style>
  <w:style w:styleId="Style_87_ch" w:type="character">
    <w:name w:val="Знак1 Знак Знак Знак"/>
    <w:basedOn w:val="Style_2_ch"/>
    <w:link w:val="Style_87"/>
    <w:rPr>
      <w:rFonts w:ascii="Tahoma" w:hAnsi="Tahoma"/>
      <w:sz w:val="20"/>
    </w:rPr>
  </w:style>
  <w:style w:styleId="Style_88" w:type="paragraph">
    <w:name w:val="Текст в таблице"/>
    <w:basedOn w:val="Style_34"/>
    <w:next w:val="Style_2"/>
    <w:link w:val="Style_88_ch"/>
    <w:pPr>
      <w:ind w:firstLine="500"/>
    </w:pPr>
  </w:style>
  <w:style w:styleId="Style_88_ch" w:type="character">
    <w:name w:val="Текст в таблице"/>
    <w:basedOn w:val="Style_34_ch"/>
    <w:link w:val="Style_88"/>
  </w:style>
  <w:style w:styleId="Style_89" w:type="paragraph">
    <w:name w:val="Примечание."/>
    <w:basedOn w:val="Style_85"/>
    <w:next w:val="Style_2"/>
    <w:link w:val="Style_89_ch"/>
    <w:pPr>
      <w:ind w:left="0"/>
    </w:pPr>
    <w:rPr>
      <w:i w:val="0"/>
      <w:color w:val="000000"/>
    </w:rPr>
  </w:style>
  <w:style w:styleId="Style_89_ch" w:type="character">
    <w:name w:val="Примечание."/>
    <w:basedOn w:val="Style_85_ch"/>
    <w:link w:val="Style_89"/>
    <w:rPr>
      <w:i w:val="0"/>
      <w:color w:val="000000"/>
    </w:rPr>
  </w:style>
  <w:style w:styleId="Style_90" w:type="paragraph">
    <w:name w:val="Default Paragraph Font"/>
    <w:link w:val="Style_90_ch"/>
  </w:style>
  <w:style w:styleId="Style_90_ch" w:type="character">
    <w:name w:val="Default Paragraph Font"/>
    <w:link w:val="Style_90"/>
  </w:style>
  <w:style w:styleId="Style_91" w:type="paragraph">
    <w:name w:val="heading 1"/>
    <w:basedOn w:val="Style_2"/>
    <w:next w:val="Style_2"/>
    <w:link w:val="Style_91_ch"/>
    <w:uiPriority w:val="9"/>
    <w:qFormat/>
    <w:pPr>
      <w:keepNext w:val="1"/>
      <w:ind/>
      <w:jc w:val="center"/>
      <w:outlineLvl w:val="0"/>
    </w:pPr>
    <w:rPr>
      <w:sz w:val="44"/>
    </w:rPr>
  </w:style>
  <w:style w:styleId="Style_91_ch" w:type="character">
    <w:name w:val="heading 1"/>
    <w:basedOn w:val="Style_2_ch"/>
    <w:link w:val="Style_91"/>
    <w:rPr>
      <w:sz w:val="44"/>
    </w:rPr>
  </w:style>
  <w:style w:styleId="Style_92" w:type="paragraph">
    <w:name w:val="ConsNormal"/>
    <w:link w:val="Style_92_ch"/>
    <w:pPr>
      <w:widowControl w:val="0"/>
      <w:ind w:firstLine="720" w:right="19772"/>
    </w:pPr>
    <w:rPr>
      <w:rFonts w:ascii="Arial" w:hAnsi="Arial"/>
      <w:color w:val="000000"/>
    </w:rPr>
  </w:style>
  <w:style w:styleId="Style_92_ch" w:type="character">
    <w:name w:val="ConsNormal"/>
    <w:link w:val="Style_92"/>
    <w:rPr>
      <w:rFonts w:ascii="Arial" w:hAnsi="Arial"/>
      <w:color w:val="000000"/>
    </w:rPr>
  </w:style>
  <w:style w:styleId="Style_93" w:type="paragraph">
    <w:name w:val="Основной текст 22"/>
    <w:basedOn w:val="Style_2"/>
    <w:link w:val="Style_93_ch"/>
    <w:pPr>
      <w:spacing w:line="360" w:lineRule="auto"/>
      <w:ind w:firstLine="720"/>
      <w:jc w:val="both"/>
    </w:pPr>
  </w:style>
  <w:style w:styleId="Style_93_ch" w:type="character">
    <w:name w:val="Основной текст 22"/>
    <w:basedOn w:val="Style_2_ch"/>
    <w:link w:val="Style_93"/>
  </w:style>
  <w:style w:styleId="Style_85" w:type="paragraph">
    <w:name w:val="Комментарий"/>
    <w:basedOn w:val="Style_2"/>
    <w:next w:val="Style_2"/>
    <w:link w:val="Style_85_ch"/>
    <w:pPr>
      <w:widowControl w:val="0"/>
      <w:ind w:left="170"/>
      <w:jc w:val="both"/>
    </w:pPr>
    <w:rPr>
      <w:rFonts w:ascii="Arial" w:hAnsi="Arial"/>
      <w:i w:val="1"/>
      <w:color w:val="800080"/>
    </w:rPr>
  </w:style>
  <w:style w:styleId="Style_85_ch" w:type="character">
    <w:name w:val="Комментарий"/>
    <w:basedOn w:val="Style_2_ch"/>
    <w:link w:val="Style_85"/>
    <w:rPr>
      <w:rFonts w:ascii="Arial" w:hAnsi="Arial"/>
      <w:i w:val="1"/>
      <w:color w:val="800080"/>
    </w:rPr>
  </w:style>
  <w:style w:styleId="Style_94" w:type="paragraph">
    <w:name w:val="Обычный1"/>
    <w:link w:val="Style_94_ch"/>
    <w:rPr>
      <w:color w:val="000000"/>
      <w:sz w:val="24"/>
    </w:rPr>
  </w:style>
  <w:style w:styleId="Style_94_ch" w:type="character">
    <w:name w:val="Обычный1"/>
    <w:link w:val="Style_94"/>
    <w:rPr>
      <w:color w:val="000000"/>
      <w:sz w:val="24"/>
    </w:rPr>
  </w:style>
  <w:style w:styleId="Style_95" w:type="paragraph">
    <w:name w:val="Hyperlink"/>
    <w:link w:val="Style_95_ch"/>
    <w:rPr>
      <w:color w:val="0000FF"/>
      <w:u w:val="single"/>
    </w:rPr>
  </w:style>
  <w:style w:styleId="Style_95_ch" w:type="character">
    <w:name w:val="Hyperlink"/>
    <w:link w:val="Style_95"/>
    <w:rPr>
      <w:color w:val="0000FF"/>
      <w:u w:val="single"/>
    </w:rPr>
  </w:style>
  <w:style w:styleId="Style_96" w:type="paragraph">
    <w:name w:val="Footnote"/>
    <w:basedOn w:val="Style_2"/>
    <w:link w:val="Style_96_ch"/>
    <w:rPr>
      <w:sz w:val="20"/>
    </w:rPr>
  </w:style>
  <w:style w:styleId="Style_96_ch" w:type="character">
    <w:name w:val="Footnote"/>
    <w:basedOn w:val="Style_2_ch"/>
    <w:link w:val="Style_96"/>
    <w:rPr>
      <w:sz w:val="20"/>
    </w:rPr>
  </w:style>
  <w:style w:styleId="Style_97" w:type="paragraph">
    <w:name w:val="ConsPlusNonformat"/>
    <w:link w:val="Style_97_ch"/>
    <w:pPr>
      <w:widowControl w:val="0"/>
      <w:ind/>
    </w:pPr>
    <w:rPr>
      <w:rFonts w:ascii="Courier New" w:hAnsi="Courier New"/>
      <w:color w:val="000000"/>
    </w:rPr>
  </w:style>
  <w:style w:styleId="Style_97_ch" w:type="character">
    <w:name w:val="ConsPlusNonformat"/>
    <w:link w:val="Style_97"/>
    <w:rPr>
      <w:rFonts w:ascii="Courier New" w:hAnsi="Courier New"/>
      <w:color w:val="000000"/>
    </w:rPr>
  </w:style>
  <w:style w:styleId="Style_98" w:type="paragraph">
    <w:name w:val="Внимание: недобросовестность!"/>
    <w:basedOn w:val="Style_2"/>
    <w:next w:val="Style_2"/>
    <w:link w:val="Style_98_ch"/>
    <w:pPr>
      <w:widowControl w:val="0"/>
      <w:ind/>
      <w:jc w:val="both"/>
    </w:pPr>
    <w:rPr>
      <w:rFonts w:ascii="Arial" w:hAnsi="Arial"/>
    </w:rPr>
  </w:style>
  <w:style w:styleId="Style_98_ch" w:type="character">
    <w:name w:val="Внимание: недобросовестность!"/>
    <w:basedOn w:val="Style_2_ch"/>
    <w:link w:val="Style_98"/>
    <w:rPr>
      <w:rFonts w:ascii="Arial" w:hAnsi="Arial"/>
    </w:rPr>
  </w:style>
  <w:style w:styleId="Style_99" w:type="paragraph">
    <w:name w:val="Обычный13"/>
    <w:link w:val="Style_99_ch"/>
    <w:rPr>
      <w:color w:val="000000"/>
      <w:sz w:val="24"/>
    </w:rPr>
  </w:style>
  <w:style w:styleId="Style_99_ch" w:type="character">
    <w:name w:val="Обычный13"/>
    <w:link w:val="Style_99"/>
    <w:rPr>
      <w:color w:val="000000"/>
      <w:sz w:val="24"/>
    </w:rPr>
  </w:style>
  <w:style w:styleId="Style_100" w:type="paragraph">
    <w:name w:val="footer"/>
    <w:basedOn w:val="Style_2"/>
    <w:link w:val="Style_100_ch"/>
    <w:pPr>
      <w:tabs>
        <w:tab w:leader="none" w:pos="4677" w:val="center"/>
        <w:tab w:leader="none" w:pos="9355" w:val="right"/>
      </w:tabs>
      <w:ind/>
    </w:pPr>
  </w:style>
  <w:style w:styleId="Style_100_ch" w:type="character">
    <w:name w:val="footer"/>
    <w:basedOn w:val="Style_2_ch"/>
    <w:link w:val="Style_100"/>
  </w:style>
  <w:style w:styleId="Style_101" w:type="paragraph">
    <w:name w:val="toc 1"/>
    <w:next w:val="Style_2"/>
    <w:link w:val="Style_101_ch"/>
    <w:uiPriority w:val="39"/>
    <w:rPr>
      <w:rFonts w:ascii="XO Thames" w:hAnsi="XO Thames"/>
      <w:b w:val="1"/>
      <w:color w:val="000000"/>
      <w:sz w:val="28"/>
    </w:rPr>
  </w:style>
  <w:style w:styleId="Style_101_ch" w:type="character">
    <w:name w:val="toc 1"/>
    <w:link w:val="Style_101"/>
    <w:rPr>
      <w:rFonts w:ascii="XO Thames" w:hAnsi="XO Thames"/>
      <w:b w:val="1"/>
      <w:color w:val="000000"/>
      <w:sz w:val="28"/>
    </w:rPr>
  </w:style>
  <w:style w:styleId="Style_102" w:type="paragraph">
    <w:name w:val="Абзац списка5"/>
    <w:basedOn w:val="Style_2"/>
    <w:link w:val="Style_102_ch"/>
    <w:pPr>
      <w:spacing w:line="276" w:lineRule="auto"/>
      <w:ind w:firstLine="709" w:left="720"/>
      <w:contextualSpacing w:val="1"/>
      <w:jc w:val="both"/>
    </w:pPr>
    <w:rPr>
      <w:sz w:val="28"/>
    </w:rPr>
  </w:style>
  <w:style w:styleId="Style_102_ch" w:type="character">
    <w:name w:val="Абзац списка5"/>
    <w:basedOn w:val="Style_2_ch"/>
    <w:link w:val="Style_102"/>
    <w:rPr>
      <w:sz w:val="28"/>
    </w:rPr>
  </w:style>
  <w:style w:styleId="Style_103" w:type="paragraph">
    <w:name w:val="Основной текст1"/>
    <w:basedOn w:val="Style_2"/>
    <w:link w:val="Style_103_ch"/>
    <w:pPr>
      <w:widowControl w:val="0"/>
      <w:spacing w:before="600" w:line="278" w:lineRule="exact"/>
      <w:ind/>
      <w:jc w:val="center"/>
    </w:pPr>
    <w:rPr>
      <w:b w:val="1"/>
      <w:spacing w:val="-3"/>
      <w:sz w:val="20"/>
      <w:highlight w:val="white"/>
    </w:rPr>
  </w:style>
  <w:style w:styleId="Style_103_ch" w:type="character">
    <w:name w:val="Основной текст1"/>
    <w:basedOn w:val="Style_2_ch"/>
    <w:link w:val="Style_103"/>
    <w:rPr>
      <w:b w:val="1"/>
      <w:spacing w:val="-3"/>
      <w:sz w:val="20"/>
      <w:highlight w:val="white"/>
    </w:rPr>
  </w:style>
  <w:style w:styleId="Style_104" w:type="paragraph">
    <w:name w:val="Колонтитул (правый)"/>
    <w:basedOn w:val="Style_105"/>
    <w:next w:val="Style_2"/>
    <w:link w:val="Style_104_ch"/>
    <w:pPr>
      <w:ind/>
      <w:jc w:val="both"/>
    </w:pPr>
    <w:rPr>
      <w:sz w:val="16"/>
    </w:rPr>
  </w:style>
  <w:style w:styleId="Style_104_ch" w:type="character">
    <w:name w:val="Колонтитул (правый)"/>
    <w:basedOn w:val="Style_105_ch"/>
    <w:link w:val="Style_104"/>
    <w:rPr>
      <w:sz w:val="16"/>
    </w:rPr>
  </w:style>
  <w:style w:styleId="Style_106" w:type="paragraph">
    <w:name w:val="Гиперссылка1"/>
    <w:link w:val="Style_106_ch"/>
    <w:rPr>
      <w:color w:val="0000FF"/>
      <w:u w:val="single"/>
    </w:rPr>
  </w:style>
  <w:style w:styleId="Style_106_ch" w:type="character">
    <w:name w:val="Гиперссылка1"/>
    <w:link w:val="Style_106"/>
    <w:rPr>
      <w:color w:val="0000FF"/>
      <w:u w:val="single"/>
    </w:rPr>
  </w:style>
  <w:style w:styleId="Style_107" w:type="paragraph">
    <w:name w:val="Основной шрифт абзаца121"/>
    <w:link w:val="Style_107_ch"/>
    <w:rPr>
      <w:color w:val="000000"/>
    </w:rPr>
  </w:style>
  <w:style w:styleId="Style_107_ch" w:type="character">
    <w:name w:val="Основной шрифт абзаца121"/>
    <w:link w:val="Style_107"/>
    <w:rPr>
      <w:color w:val="000000"/>
    </w:rPr>
  </w:style>
  <w:style w:styleId="Style_108" w:type="paragraph">
    <w:name w:val="Header and Footer"/>
    <w:link w:val="Style_108_ch"/>
    <w:pPr>
      <w:ind/>
      <w:jc w:val="both"/>
    </w:pPr>
    <w:rPr>
      <w:rFonts w:ascii="XO Thames" w:hAnsi="XO Thames"/>
      <w:color w:val="000000"/>
      <w:sz w:val="28"/>
    </w:rPr>
  </w:style>
  <w:style w:styleId="Style_108_ch" w:type="character">
    <w:name w:val="Header and Footer"/>
    <w:link w:val="Style_108"/>
    <w:rPr>
      <w:rFonts w:ascii="XO Thames" w:hAnsi="XO Thames"/>
      <w:color w:val="000000"/>
      <w:sz w:val="28"/>
    </w:rPr>
  </w:style>
  <w:style w:styleId="Style_109" w:type="paragraph">
    <w:name w:val="Абзац списка1"/>
    <w:basedOn w:val="Style_2"/>
    <w:link w:val="Style_109_ch"/>
    <w:rPr>
      <w:rFonts w:ascii="Calibri" w:hAnsi="Calibri"/>
      <w:sz w:val="20"/>
    </w:rPr>
  </w:style>
  <w:style w:styleId="Style_109_ch" w:type="character">
    <w:name w:val="Абзац списка1"/>
    <w:basedOn w:val="Style_2_ch"/>
    <w:link w:val="Style_109"/>
    <w:rPr>
      <w:rFonts w:ascii="Calibri" w:hAnsi="Calibri"/>
      <w:sz w:val="20"/>
    </w:rPr>
  </w:style>
  <w:style w:styleId="Style_110" w:type="paragraph">
    <w:name w:val="Основной"/>
    <w:basedOn w:val="Style_2"/>
    <w:link w:val="Style_110_ch"/>
    <w:pPr>
      <w:widowControl w:val="0"/>
      <w:ind w:firstLine="720"/>
      <w:jc w:val="both"/>
    </w:pPr>
    <w:rPr>
      <w:rFonts w:ascii="Arial" w:hAnsi="Arial"/>
      <w:sz w:val="28"/>
    </w:rPr>
  </w:style>
  <w:style w:styleId="Style_110_ch" w:type="character">
    <w:name w:val="Основной"/>
    <w:basedOn w:val="Style_2_ch"/>
    <w:link w:val="Style_110"/>
    <w:rPr>
      <w:rFonts w:ascii="Arial" w:hAnsi="Arial"/>
      <w:sz w:val="28"/>
    </w:rPr>
  </w:style>
  <w:style w:styleId="Style_111" w:type="paragraph">
    <w:name w:val="List Paragraph"/>
    <w:basedOn w:val="Style_2"/>
    <w:link w:val="Style_111_ch"/>
    <w:pPr>
      <w:spacing w:after="200" w:line="276" w:lineRule="auto"/>
      <w:ind w:left="720"/>
    </w:pPr>
    <w:rPr>
      <w:rFonts w:ascii="Calibri" w:hAnsi="Calibri"/>
      <w:sz w:val="22"/>
    </w:rPr>
  </w:style>
  <w:style w:styleId="Style_111_ch" w:type="character">
    <w:name w:val="List Paragraph"/>
    <w:basedOn w:val="Style_2_ch"/>
    <w:link w:val="Style_111"/>
    <w:rPr>
      <w:rFonts w:ascii="Calibri" w:hAnsi="Calibri"/>
      <w:sz w:val="22"/>
    </w:rPr>
  </w:style>
  <w:style w:styleId="Style_112" w:type="paragraph">
    <w:name w:val="Знак2"/>
    <w:basedOn w:val="Style_2"/>
    <w:link w:val="Style_112_ch"/>
    <w:pPr>
      <w:spacing w:afterAutospacing="on" w:beforeAutospacing="on"/>
      <w:ind/>
    </w:pPr>
    <w:rPr>
      <w:rFonts w:ascii="Tahoma" w:hAnsi="Tahoma"/>
      <w:sz w:val="20"/>
    </w:rPr>
  </w:style>
  <w:style w:styleId="Style_112_ch" w:type="character">
    <w:name w:val="Знак2"/>
    <w:basedOn w:val="Style_2_ch"/>
    <w:link w:val="Style_112"/>
    <w:rPr>
      <w:rFonts w:ascii="Tahoma" w:hAnsi="Tahoma"/>
      <w:sz w:val="20"/>
    </w:rPr>
  </w:style>
  <w:style w:styleId="Style_113" w:type="paragraph">
    <w:name w:val="List 3"/>
    <w:basedOn w:val="Style_2"/>
    <w:link w:val="Style_113_ch"/>
    <w:pPr>
      <w:ind w:hanging="283" w:left="849"/>
      <w:jc w:val="both"/>
    </w:pPr>
    <w:rPr>
      <w:rFonts w:ascii="Arial" w:hAnsi="Arial"/>
      <w:sz w:val="28"/>
    </w:rPr>
  </w:style>
  <w:style w:styleId="Style_113_ch" w:type="character">
    <w:name w:val="List 3"/>
    <w:basedOn w:val="Style_2_ch"/>
    <w:link w:val="Style_113"/>
    <w:rPr>
      <w:rFonts w:ascii="Arial" w:hAnsi="Arial"/>
      <w:sz w:val="28"/>
    </w:rPr>
  </w:style>
  <w:style w:styleId="Style_114" w:type="paragraph">
    <w:name w:val="Знак Знак Знак"/>
    <w:basedOn w:val="Style_2"/>
    <w:link w:val="Style_114_ch"/>
    <w:pPr>
      <w:spacing w:afterAutospacing="on" w:beforeAutospacing="on"/>
      <w:ind/>
    </w:pPr>
    <w:rPr>
      <w:rFonts w:ascii="Tahoma" w:hAnsi="Tahoma"/>
      <w:sz w:val="20"/>
    </w:rPr>
  </w:style>
  <w:style w:styleId="Style_114_ch" w:type="character">
    <w:name w:val="Знак Знак Знак"/>
    <w:basedOn w:val="Style_2_ch"/>
    <w:link w:val="Style_114"/>
    <w:rPr>
      <w:rFonts w:ascii="Tahoma" w:hAnsi="Tahoma"/>
      <w:sz w:val="20"/>
    </w:rPr>
  </w:style>
  <w:style w:styleId="Style_115" w:type="paragraph">
    <w:name w:val="Абзац списка6"/>
    <w:basedOn w:val="Style_2"/>
    <w:link w:val="Style_115_ch"/>
    <w:pPr>
      <w:spacing w:line="276" w:lineRule="auto"/>
      <w:ind w:firstLine="709" w:left="720"/>
      <w:contextualSpacing w:val="1"/>
      <w:jc w:val="both"/>
    </w:pPr>
    <w:rPr>
      <w:sz w:val="28"/>
    </w:rPr>
  </w:style>
  <w:style w:styleId="Style_115_ch" w:type="character">
    <w:name w:val="Абзац списка6"/>
    <w:basedOn w:val="Style_2_ch"/>
    <w:link w:val="Style_115"/>
    <w:rPr>
      <w:sz w:val="28"/>
    </w:rPr>
  </w:style>
  <w:style w:styleId="Style_116" w:type="paragraph">
    <w:name w:val="consplusnormal"/>
    <w:basedOn w:val="Style_2"/>
    <w:link w:val="Style_116_ch"/>
    <w:pPr>
      <w:spacing w:afterAutospacing="on" w:beforeAutospacing="on"/>
      <w:ind/>
    </w:pPr>
  </w:style>
  <w:style w:styleId="Style_116_ch" w:type="character">
    <w:name w:val="consplusnormal"/>
    <w:basedOn w:val="Style_2_ch"/>
    <w:link w:val="Style_116"/>
  </w:style>
  <w:style w:styleId="Style_117" w:type="paragraph">
    <w:name w:val="Знак Знак Знак Знак11"/>
    <w:basedOn w:val="Style_2"/>
    <w:link w:val="Style_117_ch"/>
    <w:pPr>
      <w:spacing w:afterAutospacing="on" w:beforeAutospacing="on"/>
      <w:ind/>
      <w:jc w:val="both"/>
    </w:pPr>
    <w:rPr>
      <w:rFonts w:ascii="Tahoma" w:hAnsi="Tahoma"/>
      <w:sz w:val="20"/>
    </w:rPr>
  </w:style>
  <w:style w:styleId="Style_117_ch" w:type="character">
    <w:name w:val="Знак Знак Знак Знак11"/>
    <w:basedOn w:val="Style_2_ch"/>
    <w:link w:val="Style_117"/>
    <w:rPr>
      <w:rFonts w:ascii="Tahoma" w:hAnsi="Tahoma"/>
      <w:sz w:val="20"/>
    </w:rPr>
  </w:style>
  <w:style w:styleId="Style_118" w:type="paragraph">
    <w:name w:val="toc 9"/>
    <w:next w:val="Style_2"/>
    <w:link w:val="Style_118_ch"/>
    <w:uiPriority w:val="39"/>
    <w:pPr>
      <w:ind w:left="1600"/>
    </w:pPr>
    <w:rPr>
      <w:rFonts w:ascii="XO Thames" w:hAnsi="XO Thames"/>
      <w:color w:val="000000"/>
      <w:sz w:val="28"/>
    </w:rPr>
  </w:style>
  <w:style w:styleId="Style_118_ch" w:type="character">
    <w:name w:val="toc 9"/>
    <w:link w:val="Style_118"/>
    <w:rPr>
      <w:rFonts w:ascii="XO Thames" w:hAnsi="XO Thames"/>
      <w:color w:val="000000"/>
      <w:sz w:val="28"/>
    </w:rPr>
  </w:style>
  <w:style w:styleId="Style_119" w:type="paragraph">
    <w:name w:val="Объект"/>
    <w:basedOn w:val="Style_2"/>
    <w:next w:val="Style_2"/>
    <w:link w:val="Style_119_ch"/>
    <w:pPr>
      <w:widowControl w:val="0"/>
      <w:ind/>
      <w:jc w:val="both"/>
    </w:pPr>
    <w:rPr>
      <w:rFonts w:ascii="Arial" w:hAnsi="Arial"/>
    </w:rPr>
  </w:style>
  <w:style w:styleId="Style_119_ch" w:type="character">
    <w:name w:val="Объект"/>
    <w:basedOn w:val="Style_2_ch"/>
    <w:link w:val="Style_119"/>
    <w:rPr>
      <w:rFonts w:ascii="Arial" w:hAnsi="Arial"/>
    </w:rPr>
  </w:style>
  <w:style w:styleId="Style_120" w:type="paragraph">
    <w:name w:val="Оглавление"/>
    <w:basedOn w:val="Style_121"/>
    <w:next w:val="Style_2"/>
    <w:link w:val="Style_120_ch"/>
    <w:pPr>
      <w:ind w:left="140"/>
    </w:pPr>
    <w:rPr>
      <w:rFonts w:ascii="Arial" w:hAnsi="Arial"/>
    </w:rPr>
  </w:style>
  <w:style w:styleId="Style_120_ch" w:type="character">
    <w:name w:val="Оглавление"/>
    <w:basedOn w:val="Style_121_ch"/>
    <w:link w:val="Style_120"/>
    <w:rPr>
      <w:rFonts w:ascii="Arial" w:hAnsi="Arial"/>
    </w:rPr>
  </w:style>
  <w:style w:styleId="Style_122" w:type="paragraph">
    <w:name w:val="Основной текст 21"/>
    <w:basedOn w:val="Style_2"/>
    <w:link w:val="Style_122_ch"/>
    <w:pPr>
      <w:ind w:firstLine="720"/>
      <w:jc w:val="both"/>
    </w:pPr>
    <w:rPr>
      <w:sz w:val="28"/>
    </w:rPr>
  </w:style>
  <w:style w:styleId="Style_122_ch" w:type="character">
    <w:name w:val="Основной текст 21"/>
    <w:basedOn w:val="Style_2_ch"/>
    <w:link w:val="Style_122"/>
    <w:rPr>
      <w:sz w:val="28"/>
    </w:rPr>
  </w:style>
  <w:style w:styleId="Style_123" w:type="paragraph">
    <w:name w:val="Абзац списка3"/>
    <w:basedOn w:val="Style_2"/>
    <w:link w:val="Style_123_ch"/>
    <w:rPr>
      <w:sz w:val="20"/>
    </w:rPr>
  </w:style>
  <w:style w:styleId="Style_123_ch" w:type="character">
    <w:name w:val="Абзац списка3"/>
    <w:basedOn w:val="Style_2_ch"/>
    <w:link w:val="Style_123"/>
    <w:rPr>
      <w:sz w:val="20"/>
    </w:rPr>
  </w:style>
  <w:style w:styleId="Style_124" w:type="paragraph">
    <w:name w:val="Header Char"/>
    <w:link w:val="Style_124_ch"/>
    <w:rPr>
      <w:color w:val="000000"/>
    </w:rPr>
  </w:style>
  <w:style w:styleId="Style_124_ch" w:type="character">
    <w:name w:val="Header Char"/>
    <w:link w:val="Style_124"/>
    <w:rPr>
      <w:color w:val="000000"/>
    </w:rPr>
  </w:style>
  <w:style w:styleId="Style_125" w:type="paragraph">
    <w:name w:val="Знак Знак Знак Знак Знак Знак Знак Знак Знак"/>
    <w:basedOn w:val="Style_2"/>
    <w:link w:val="Style_125_ch"/>
    <w:pPr>
      <w:spacing w:afterAutospacing="on" w:beforeAutospacing="on"/>
      <w:ind/>
    </w:pPr>
    <w:rPr>
      <w:rFonts w:ascii="Tahoma" w:hAnsi="Tahoma"/>
      <w:sz w:val="20"/>
    </w:rPr>
  </w:style>
  <w:style w:styleId="Style_125_ch" w:type="character">
    <w:name w:val="Знак Знак Знак Знак Знак Знак Знак Знак Знак"/>
    <w:basedOn w:val="Style_2_ch"/>
    <w:link w:val="Style_125"/>
    <w:rPr>
      <w:rFonts w:ascii="Tahoma" w:hAnsi="Tahoma"/>
      <w:sz w:val="20"/>
    </w:rPr>
  </w:style>
  <w:style w:styleId="Style_126" w:type="paragraph">
    <w:name w:val="Знак13"/>
    <w:basedOn w:val="Style_2"/>
    <w:link w:val="Style_126_ch"/>
    <w:pPr>
      <w:spacing w:afterAutospacing="on" w:beforeAutospacing="on"/>
      <w:ind/>
    </w:pPr>
    <w:rPr>
      <w:rFonts w:ascii="Tahoma" w:hAnsi="Tahoma"/>
      <w:sz w:val="20"/>
    </w:rPr>
  </w:style>
  <w:style w:styleId="Style_126_ch" w:type="character">
    <w:name w:val="Знак13"/>
    <w:basedOn w:val="Style_2_ch"/>
    <w:link w:val="Style_126"/>
    <w:rPr>
      <w:rFonts w:ascii="Tahoma" w:hAnsi="Tahoma"/>
      <w:sz w:val="20"/>
    </w:rPr>
  </w:style>
  <w:style w:styleId="Style_127" w:type="paragraph">
    <w:name w:val="ConsPlusNormal"/>
    <w:link w:val="Style_127_ch"/>
    <w:pPr>
      <w:widowControl w:val="0"/>
      <w:ind/>
    </w:pPr>
    <w:rPr>
      <w:rFonts w:ascii="Calibri" w:hAnsi="Calibri"/>
      <w:color w:val="000000"/>
      <w:sz w:val="22"/>
    </w:rPr>
  </w:style>
  <w:style w:styleId="Style_127_ch" w:type="character">
    <w:name w:val="ConsPlusNormal"/>
    <w:link w:val="Style_127"/>
    <w:rPr>
      <w:rFonts w:ascii="Calibri" w:hAnsi="Calibri"/>
      <w:color w:val="000000"/>
      <w:sz w:val="22"/>
    </w:rPr>
  </w:style>
  <w:style w:styleId="Style_128" w:type="paragraph">
    <w:name w:val="Основной текст 212"/>
    <w:basedOn w:val="Style_2"/>
    <w:link w:val="Style_128_ch"/>
    <w:pPr>
      <w:ind w:firstLine="720"/>
      <w:jc w:val="both"/>
    </w:pPr>
    <w:rPr>
      <w:sz w:val="20"/>
    </w:rPr>
  </w:style>
  <w:style w:styleId="Style_128_ch" w:type="character">
    <w:name w:val="Основной текст 212"/>
    <w:basedOn w:val="Style_2_ch"/>
    <w:link w:val="Style_128"/>
    <w:rPr>
      <w:sz w:val="20"/>
    </w:rPr>
  </w:style>
  <w:style w:styleId="Style_129" w:type="paragraph">
    <w:name w:val="Знак111"/>
    <w:basedOn w:val="Style_2"/>
    <w:link w:val="Style_129_ch"/>
    <w:pPr>
      <w:spacing w:afterAutospacing="on" w:beforeAutospacing="on"/>
      <w:ind/>
    </w:pPr>
    <w:rPr>
      <w:rFonts w:ascii="Tahoma" w:hAnsi="Tahoma"/>
      <w:sz w:val="20"/>
    </w:rPr>
  </w:style>
  <w:style w:styleId="Style_129_ch" w:type="character">
    <w:name w:val="Знак111"/>
    <w:basedOn w:val="Style_2_ch"/>
    <w:link w:val="Style_129"/>
    <w:rPr>
      <w:rFonts w:ascii="Tahoma" w:hAnsi="Tahoma"/>
      <w:sz w:val="20"/>
    </w:rPr>
  </w:style>
  <w:style w:styleId="Style_130" w:type="paragraph">
    <w:name w:val="Default"/>
    <w:link w:val="Style_130_ch"/>
    <w:rPr>
      <w:color w:val="000000"/>
      <w:sz w:val="24"/>
    </w:rPr>
  </w:style>
  <w:style w:styleId="Style_130_ch" w:type="character">
    <w:name w:val="Default"/>
    <w:link w:val="Style_130"/>
    <w:rPr>
      <w:color w:val="000000"/>
      <w:sz w:val="24"/>
    </w:rPr>
  </w:style>
  <w:style w:styleId="Style_131" w:type="paragraph">
    <w:name w:val="Абзац списка8"/>
    <w:basedOn w:val="Style_2"/>
    <w:link w:val="Style_131_ch"/>
    <w:pPr>
      <w:spacing w:line="276" w:lineRule="auto"/>
      <w:ind w:firstLine="709" w:left="720"/>
      <w:contextualSpacing w:val="1"/>
      <w:jc w:val="both"/>
    </w:pPr>
    <w:rPr>
      <w:sz w:val="28"/>
    </w:rPr>
  </w:style>
  <w:style w:styleId="Style_131_ch" w:type="character">
    <w:name w:val="Абзац списка8"/>
    <w:basedOn w:val="Style_2_ch"/>
    <w:link w:val="Style_131"/>
    <w:rPr>
      <w:sz w:val="28"/>
    </w:rPr>
  </w:style>
  <w:style w:styleId="Style_132" w:type="paragraph">
    <w:name w:val="_Style 110"/>
    <w:basedOn w:val="Style_10"/>
    <w:next w:val="Style_2"/>
    <w:link w:val="Style_132_ch"/>
    <w:rPr>
      <w:rFonts w:ascii="Arial" w:hAnsi="Arial"/>
      <w:b w:val="1"/>
      <w:color w:val="C0C0C0"/>
    </w:rPr>
  </w:style>
  <w:style w:styleId="Style_132_ch" w:type="character">
    <w:name w:val="_Style 110"/>
    <w:basedOn w:val="Style_10_ch"/>
    <w:link w:val="Style_132"/>
    <w:rPr>
      <w:rFonts w:ascii="Arial" w:hAnsi="Arial"/>
      <w:b w:val="1"/>
      <w:color w:val="C0C0C0"/>
    </w:rPr>
  </w:style>
  <w:style w:styleId="Style_133" w:type="paragraph">
    <w:name w:val="Просмотренная гиперссылка1"/>
    <w:link w:val="Style_133_ch"/>
    <w:rPr>
      <w:color w:val="800080"/>
      <w:u w:val="single"/>
    </w:rPr>
  </w:style>
  <w:style w:styleId="Style_133_ch" w:type="character">
    <w:name w:val="Просмотренная гиперссылка1"/>
    <w:link w:val="Style_133"/>
    <w:rPr>
      <w:color w:val="800080"/>
      <w:u w:val="single"/>
    </w:rPr>
  </w:style>
  <w:style w:styleId="Style_105" w:type="paragraph">
    <w:name w:val="Текст (прав. подпись)"/>
    <w:basedOn w:val="Style_2"/>
    <w:next w:val="Style_2"/>
    <w:link w:val="Style_105_ch"/>
    <w:pPr>
      <w:widowControl w:val="0"/>
      <w:ind/>
      <w:jc w:val="right"/>
    </w:pPr>
    <w:rPr>
      <w:rFonts w:ascii="Arial" w:hAnsi="Arial"/>
    </w:rPr>
  </w:style>
  <w:style w:styleId="Style_105_ch" w:type="character">
    <w:name w:val="Текст (прав. подпись)"/>
    <w:basedOn w:val="Style_2_ch"/>
    <w:link w:val="Style_105"/>
    <w:rPr>
      <w:rFonts w:ascii="Arial" w:hAnsi="Arial"/>
    </w:rPr>
  </w:style>
  <w:style w:styleId="Style_134" w:type="paragraph">
    <w:name w:val="toc 8"/>
    <w:next w:val="Style_2"/>
    <w:link w:val="Style_134_ch"/>
    <w:uiPriority w:val="39"/>
    <w:pPr>
      <w:ind w:left="1400"/>
    </w:pPr>
    <w:rPr>
      <w:rFonts w:ascii="XO Thames" w:hAnsi="XO Thames"/>
      <w:color w:val="000000"/>
      <w:sz w:val="28"/>
    </w:rPr>
  </w:style>
  <w:style w:styleId="Style_134_ch" w:type="character">
    <w:name w:val="toc 8"/>
    <w:link w:val="Style_134"/>
    <w:rPr>
      <w:rFonts w:ascii="XO Thames" w:hAnsi="XO Thames"/>
      <w:color w:val="000000"/>
      <w:sz w:val="28"/>
    </w:rPr>
  </w:style>
  <w:style w:styleId="Style_135" w:type="paragraph">
    <w:name w:val="ConsCell"/>
    <w:link w:val="Style_135_ch"/>
    <w:pPr>
      <w:widowControl w:val="0"/>
      <w:ind w:right="19772"/>
    </w:pPr>
    <w:rPr>
      <w:rFonts w:ascii="Arial" w:hAnsi="Arial"/>
      <w:color w:val="000000"/>
    </w:rPr>
  </w:style>
  <w:style w:styleId="Style_135_ch" w:type="character">
    <w:name w:val="ConsCell"/>
    <w:link w:val="Style_135"/>
    <w:rPr>
      <w:rFonts w:ascii="Arial" w:hAnsi="Arial"/>
      <w:color w:val="000000"/>
    </w:rPr>
  </w:style>
  <w:style w:styleId="Style_136" w:type="paragraph">
    <w:name w:val="Balloon Text"/>
    <w:basedOn w:val="Style_2"/>
    <w:link w:val="Style_136_ch"/>
    <w:rPr>
      <w:rFonts w:ascii="Tahoma" w:hAnsi="Tahoma"/>
      <w:sz w:val="16"/>
    </w:rPr>
  </w:style>
  <w:style w:styleId="Style_136_ch" w:type="character">
    <w:name w:val="Balloon Text"/>
    <w:basedOn w:val="Style_2_ch"/>
    <w:link w:val="Style_136"/>
    <w:rPr>
      <w:rFonts w:ascii="Tahoma" w:hAnsi="Tahoma"/>
      <w:sz w:val="16"/>
    </w:rPr>
  </w:style>
  <w:style w:styleId="Style_137" w:type="paragraph">
    <w:name w:val="Знак1"/>
    <w:basedOn w:val="Style_2"/>
    <w:link w:val="Style_137_ch"/>
    <w:pPr>
      <w:spacing w:afterAutospacing="on" w:beforeAutospacing="on"/>
      <w:ind w:firstLine="709"/>
      <w:jc w:val="both"/>
    </w:pPr>
    <w:rPr>
      <w:rFonts w:ascii="Tahoma" w:hAnsi="Tahoma"/>
      <w:sz w:val="20"/>
    </w:rPr>
  </w:style>
  <w:style w:styleId="Style_137_ch" w:type="character">
    <w:name w:val="Знак1"/>
    <w:basedOn w:val="Style_2_ch"/>
    <w:link w:val="Style_137"/>
    <w:rPr>
      <w:rFonts w:ascii="Tahoma" w:hAnsi="Tahoma"/>
      <w:sz w:val="20"/>
    </w:rPr>
  </w:style>
  <w:style w:styleId="Style_138" w:type="paragraph">
    <w:name w:val="caption"/>
    <w:basedOn w:val="Style_2"/>
    <w:next w:val="Style_2"/>
    <w:link w:val="Style_138_ch"/>
    <w:pPr>
      <w:spacing w:before="120"/>
      <w:ind/>
      <w:jc w:val="center"/>
    </w:pPr>
    <w:rPr>
      <w:b w:val="1"/>
      <w:sz w:val="28"/>
    </w:rPr>
  </w:style>
  <w:style w:styleId="Style_138_ch" w:type="character">
    <w:name w:val="caption"/>
    <w:basedOn w:val="Style_2_ch"/>
    <w:link w:val="Style_138"/>
    <w:rPr>
      <w:b w:val="1"/>
      <w:sz w:val="28"/>
    </w:rPr>
  </w:style>
  <w:style w:styleId="Style_139" w:type="paragraph">
    <w:name w:val="Знак Знак Знак Знак Знак Знак11"/>
    <w:basedOn w:val="Style_2"/>
    <w:link w:val="Style_139_ch"/>
    <w:pPr>
      <w:spacing w:afterAutospacing="on" w:beforeAutospacing="on"/>
      <w:ind/>
      <w:jc w:val="both"/>
    </w:pPr>
    <w:rPr>
      <w:rFonts w:ascii="Tahoma" w:hAnsi="Tahoma"/>
      <w:sz w:val="20"/>
    </w:rPr>
  </w:style>
  <w:style w:styleId="Style_139_ch" w:type="character">
    <w:name w:val="Знак Знак Знак Знак Знак Знак11"/>
    <w:basedOn w:val="Style_2_ch"/>
    <w:link w:val="Style_139"/>
    <w:rPr>
      <w:rFonts w:ascii="Tahoma" w:hAnsi="Tahoma"/>
      <w:sz w:val="20"/>
    </w:rPr>
  </w:style>
  <w:style w:styleId="Style_140" w:type="paragraph">
    <w:name w:val="Сравнение редакций. Добавленный фрагмент"/>
    <w:link w:val="Style_140_ch"/>
    <w:rPr>
      <w:color w:val="0000FF"/>
    </w:rPr>
  </w:style>
  <w:style w:styleId="Style_140_ch" w:type="character">
    <w:name w:val="Сравнение редакций. Добавленный фрагмент"/>
    <w:link w:val="Style_140"/>
    <w:rPr>
      <w:color w:val="0000FF"/>
    </w:rPr>
  </w:style>
  <w:style w:styleId="Style_141" w:type="paragraph">
    <w:name w:val="Переменная часть"/>
    <w:basedOn w:val="Style_10"/>
    <w:next w:val="Style_2"/>
    <w:link w:val="Style_141_ch"/>
    <w:rPr>
      <w:rFonts w:ascii="Arial" w:hAnsi="Arial"/>
      <w:sz w:val="20"/>
    </w:rPr>
  </w:style>
  <w:style w:styleId="Style_141_ch" w:type="character">
    <w:name w:val="Переменная часть"/>
    <w:basedOn w:val="Style_10_ch"/>
    <w:link w:val="Style_141"/>
    <w:rPr>
      <w:rFonts w:ascii="Arial" w:hAnsi="Arial"/>
      <w:sz w:val="20"/>
    </w:rPr>
  </w:style>
  <w:style w:styleId="Style_1" w:type="paragraph">
    <w:name w:val="header"/>
    <w:basedOn w:val="Style_2"/>
    <w:link w:val="Style_1_ch"/>
    <w:pPr>
      <w:tabs>
        <w:tab w:leader="none" w:pos="4536" w:val="center"/>
        <w:tab w:leader="none" w:pos="9072" w:val="right"/>
      </w:tabs>
      <w:ind/>
    </w:pPr>
    <w:rPr>
      <w:sz w:val="28"/>
    </w:rPr>
  </w:style>
  <w:style w:styleId="Style_1_ch" w:type="character">
    <w:name w:val="header"/>
    <w:basedOn w:val="Style_2_ch"/>
    <w:link w:val="Style_1"/>
    <w:rPr>
      <w:sz w:val="28"/>
    </w:rPr>
  </w:style>
  <w:style w:styleId="Style_142" w:type="paragraph">
    <w:name w:val="toc 5"/>
    <w:next w:val="Style_2"/>
    <w:link w:val="Style_142_ch"/>
    <w:uiPriority w:val="39"/>
    <w:pPr>
      <w:ind w:left="800"/>
    </w:pPr>
    <w:rPr>
      <w:rFonts w:ascii="XO Thames" w:hAnsi="XO Thames"/>
      <w:color w:val="000000"/>
      <w:sz w:val="28"/>
    </w:rPr>
  </w:style>
  <w:style w:styleId="Style_142_ch" w:type="character">
    <w:name w:val="toc 5"/>
    <w:link w:val="Style_142"/>
    <w:rPr>
      <w:rFonts w:ascii="XO Thames" w:hAnsi="XO Thames"/>
      <w:color w:val="000000"/>
      <w:sz w:val="28"/>
    </w:rPr>
  </w:style>
  <w:style w:styleId="Style_143" w:type="paragraph">
    <w:name w:val="Моноширинный"/>
    <w:basedOn w:val="Style_2"/>
    <w:next w:val="Style_2"/>
    <w:link w:val="Style_143_ch"/>
    <w:pPr>
      <w:widowControl w:val="0"/>
      <w:ind/>
      <w:jc w:val="both"/>
    </w:pPr>
    <w:rPr>
      <w:rFonts w:ascii="Courier New" w:hAnsi="Courier New"/>
    </w:rPr>
  </w:style>
  <w:style w:styleId="Style_143_ch" w:type="character">
    <w:name w:val="Моноширинный"/>
    <w:basedOn w:val="Style_2_ch"/>
    <w:link w:val="Style_143"/>
    <w:rPr>
      <w:rFonts w:ascii="Courier New" w:hAnsi="Courier New"/>
    </w:rPr>
  </w:style>
  <w:style w:styleId="Style_144" w:type="paragraph">
    <w:name w:val="Основной шрифт абзаца1111"/>
    <w:link w:val="Style_144_ch"/>
    <w:rPr>
      <w:color w:val="000000"/>
    </w:rPr>
  </w:style>
  <w:style w:styleId="Style_144_ch" w:type="character">
    <w:name w:val="Основной шрифт абзаца1111"/>
    <w:link w:val="Style_144"/>
    <w:rPr>
      <w:color w:val="000000"/>
    </w:rPr>
  </w:style>
  <w:style w:styleId="Style_145" w:type="paragraph">
    <w:name w:val="Body Text 2"/>
    <w:basedOn w:val="Style_2"/>
    <w:link w:val="Style_145_ch"/>
    <w:pPr>
      <w:spacing w:after="120" w:line="480" w:lineRule="auto"/>
      <w:ind/>
    </w:pPr>
    <w:rPr>
      <w:rFonts w:ascii="Arial" w:hAnsi="Arial"/>
      <w:sz w:val="20"/>
    </w:rPr>
  </w:style>
  <w:style w:styleId="Style_145_ch" w:type="character">
    <w:name w:val="Body Text 2"/>
    <w:basedOn w:val="Style_2_ch"/>
    <w:link w:val="Style_145"/>
    <w:rPr>
      <w:rFonts w:ascii="Arial" w:hAnsi="Arial"/>
      <w:sz w:val="20"/>
    </w:rPr>
  </w:style>
  <w:style w:styleId="Style_146" w:type="paragraph">
    <w:name w:val="Информация об изменениях документа"/>
    <w:basedOn w:val="Style_85"/>
    <w:next w:val="Style_2"/>
    <w:link w:val="Style_146_ch"/>
    <w:pPr>
      <w:ind w:left="0"/>
    </w:pPr>
  </w:style>
  <w:style w:styleId="Style_146_ch" w:type="character">
    <w:name w:val="Информация об изменениях документа"/>
    <w:basedOn w:val="Style_85_ch"/>
    <w:link w:val="Style_146"/>
  </w:style>
  <w:style w:styleId="Style_147" w:type="paragraph">
    <w:name w:val="consnormal"/>
    <w:basedOn w:val="Style_2"/>
    <w:link w:val="Style_147_ch"/>
    <w:pPr>
      <w:spacing w:after="75" w:before="75"/>
      <w:ind/>
    </w:pPr>
    <w:rPr>
      <w:rFonts w:ascii="Arial" w:hAnsi="Arial"/>
      <w:sz w:val="20"/>
    </w:rPr>
  </w:style>
  <w:style w:styleId="Style_147_ch" w:type="character">
    <w:name w:val="consnormal"/>
    <w:basedOn w:val="Style_2_ch"/>
    <w:link w:val="Style_147"/>
    <w:rPr>
      <w:rFonts w:ascii="Arial" w:hAnsi="Arial"/>
      <w:sz w:val="20"/>
    </w:rPr>
  </w:style>
  <w:style w:styleId="Style_148" w:type="paragraph">
    <w:name w:val="Обычный14"/>
    <w:link w:val="Style_148_ch"/>
    <w:rPr>
      <w:color w:val="000000"/>
      <w:sz w:val="24"/>
    </w:rPr>
  </w:style>
  <w:style w:styleId="Style_148_ch" w:type="character">
    <w:name w:val="Обычный14"/>
    <w:link w:val="Style_148"/>
    <w:rPr>
      <w:color w:val="000000"/>
      <w:sz w:val="24"/>
    </w:rPr>
  </w:style>
  <w:style w:styleId="Style_149" w:type="paragraph">
    <w:name w:val="ConsPlusDocList"/>
    <w:link w:val="Style_149_ch"/>
    <w:pPr>
      <w:widowControl w:val="0"/>
      <w:ind/>
    </w:pPr>
    <w:rPr>
      <w:rFonts w:ascii="Courier New" w:hAnsi="Courier New"/>
      <w:color w:val="000000"/>
    </w:rPr>
  </w:style>
  <w:style w:styleId="Style_149_ch" w:type="character">
    <w:name w:val="ConsPlusDocList"/>
    <w:link w:val="Style_149"/>
    <w:rPr>
      <w:rFonts w:ascii="Courier New" w:hAnsi="Courier New"/>
      <w:color w:val="000000"/>
    </w:rPr>
  </w:style>
  <w:style w:styleId="Style_150" w:type="paragraph">
    <w:name w:val="List Bullet"/>
    <w:basedOn w:val="Style_49"/>
    <w:link w:val="Style_150_ch"/>
    <w:pPr>
      <w:tabs>
        <w:tab w:leader="none" w:pos="360" w:val="left"/>
      </w:tabs>
      <w:ind w:hanging="360" w:left="360"/>
    </w:pPr>
  </w:style>
  <w:style w:styleId="Style_150_ch" w:type="character">
    <w:name w:val="List Bullet"/>
    <w:basedOn w:val="Style_49_ch"/>
    <w:link w:val="Style_150"/>
  </w:style>
  <w:style w:styleId="Style_151" w:type="paragraph">
    <w:name w:val="Стиль1"/>
    <w:basedOn w:val="Style_2"/>
    <w:link w:val="Style_151_ch"/>
    <w:pPr>
      <w:tabs>
        <w:tab w:leader="none" w:pos="2340" w:val="left"/>
      </w:tabs>
      <w:ind w:hanging="360" w:left="2340"/>
    </w:pPr>
    <w:rPr>
      <w:rFonts w:ascii="Arial" w:hAnsi="Arial"/>
      <w:sz w:val="20"/>
    </w:rPr>
  </w:style>
  <w:style w:styleId="Style_151_ch" w:type="character">
    <w:name w:val="Стиль1"/>
    <w:basedOn w:val="Style_2_ch"/>
    <w:link w:val="Style_151"/>
    <w:rPr>
      <w:rFonts w:ascii="Arial" w:hAnsi="Arial"/>
      <w:sz w:val="20"/>
    </w:rPr>
  </w:style>
  <w:style w:styleId="Style_152" w:type="paragraph">
    <w:name w:val="Основной текст Знак2"/>
    <w:link w:val="Style_152_ch"/>
    <w:rPr>
      <w:color w:val="000000"/>
      <w:sz w:val="28"/>
    </w:rPr>
  </w:style>
  <w:style w:styleId="Style_152_ch" w:type="character">
    <w:name w:val="Основной текст Знак2"/>
    <w:link w:val="Style_152"/>
    <w:rPr>
      <w:color w:val="000000"/>
      <w:sz w:val="28"/>
    </w:rPr>
  </w:style>
  <w:style w:styleId="Style_10" w:type="paragraph">
    <w:name w:val="Основное меню (преемственное)"/>
    <w:basedOn w:val="Style_2"/>
    <w:next w:val="Style_2"/>
    <w:link w:val="Style_10_ch"/>
    <w:pPr>
      <w:widowControl w:val="0"/>
      <w:ind/>
      <w:jc w:val="both"/>
    </w:pPr>
    <w:rPr>
      <w:rFonts w:ascii="Verdana" w:hAnsi="Verdana"/>
    </w:rPr>
  </w:style>
  <w:style w:styleId="Style_10_ch" w:type="character">
    <w:name w:val="Основное меню (преемственное)"/>
    <w:basedOn w:val="Style_2_ch"/>
    <w:link w:val="Style_10"/>
    <w:rPr>
      <w:rFonts w:ascii="Verdana" w:hAnsi="Verdana"/>
    </w:rPr>
  </w:style>
  <w:style w:styleId="Style_153" w:type="paragraph">
    <w:name w:val="Номер страницы1"/>
    <w:basedOn w:val="Style_107"/>
    <w:link w:val="Style_153_ch"/>
  </w:style>
  <w:style w:styleId="Style_153_ch" w:type="character">
    <w:name w:val="Номер страницы1"/>
    <w:basedOn w:val="Style_107_ch"/>
    <w:link w:val="Style_153"/>
  </w:style>
  <w:style w:styleId="Style_154" w:type="paragraph">
    <w:name w:val="ConsNonformat"/>
    <w:link w:val="Style_154_ch"/>
    <w:pPr>
      <w:widowControl w:val="0"/>
      <w:ind w:right="19772"/>
    </w:pPr>
    <w:rPr>
      <w:rFonts w:ascii="Courier New" w:hAnsi="Courier New"/>
      <w:color w:val="000000"/>
    </w:rPr>
  </w:style>
  <w:style w:styleId="Style_154_ch" w:type="character">
    <w:name w:val="ConsNonformat"/>
    <w:link w:val="Style_154"/>
    <w:rPr>
      <w:rFonts w:ascii="Courier New" w:hAnsi="Courier New"/>
      <w:color w:val="000000"/>
    </w:rPr>
  </w:style>
  <w:style w:styleId="Style_155" w:type="paragraph">
    <w:name w:val="Subtitle"/>
    <w:next w:val="Style_2"/>
    <w:link w:val="Style_155_ch"/>
    <w:uiPriority w:val="11"/>
    <w:qFormat/>
    <w:pPr>
      <w:ind/>
      <w:jc w:val="both"/>
    </w:pPr>
    <w:rPr>
      <w:rFonts w:ascii="XO Thames" w:hAnsi="XO Thames"/>
      <w:i w:val="1"/>
      <w:color w:val="000000"/>
      <w:sz w:val="24"/>
    </w:rPr>
  </w:style>
  <w:style w:styleId="Style_155_ch" w:type="character">
    <w:name w:val="Subtitle"/>
    <w:link w:val="Style_155"/>
    <w:rPr>
      <w:rFonts w:ascii="XO Thames" w:hAnsi="XO Thames"/>
      <w:i w:val="1"/>
      <w:color w:val="000000"/>
      <w:sz w:val="24"/>
    </w:rPr>
  </w:style>
  <w:style w:styleId="Style_156" w:type="paragraph">
    <w:name w:val="Body Text Indent"/>
    <w:basedOn w:val="Style_2"/>
    <w:link w:val="Style_156_ch"/>
    <w:pPr>
      <w:ind w:firstLine="709"/>
      <w:jc w:val="both"/>
    </w:pPr>
    <w:rPr>
      <w:sz w:val="28"/>
    </w:rPr>
  </w:style>
  <w:style w:styleId="Style_156_ch" w:type="character">
    <w:name w:val="Body Text Indent"/>
    <w:basedOn w:val="Style_2_ch"/>
    <w:link w:val="Style_156"/>
    <w:rPr>
      <w:sz w:val="28"/>
    </w:rPr>
  </w:style>
  <w:style w:styleId="Style_157" w:type="paragraph">
    <w:name w:val="Пример."/>
    <w:basedOn w:val="Style_2"/>
    <w:next w:val="Style_2"/>
    <w:link w:val="Style_157_ch"/>
    <w:pPr>
      <w:widowControl w:val="0"/>
      <w:ind w:firstLine="602" w:left="118"/>
      <w:jc w:val="both"/>
    </w:pPr>
    <w:rPr>
      <w:rFonts w:ascii="Arial" w:hAnsi="Arial"/>
    </w:rPr>
  </w:style>
  <w:style w:styleId="Style_157_ch" w:type="character">
    <w:name w:val="Пример."/>
    <w:basedOn w:val="Style_2_ch"/>
    <w:link w:val="Style_157"/>
    <w:rPr>
      <w:rFonts w:ascii="Arial" w:hAnsi="Arial"/>
    </w:rPr>
  </w:style>
  <w:style w:styleId="Style_158" w:type="paragraph">
    <w:name w:val="description"/>
    <w:basedOn w:val="Style_2"/>
    <w:link w:val="Style_158_ch"/>
    <w:pPr>
      <w:spacing w:afterAutospacing="on" w:beforeAutospacing="on"/>
      <w:ind/>
    </w:pPr>
  </w:style>
  <w:style w:styleId="Style_158_ch" w:type="character">
    <w:name w:val="description"/>
    <w:basedOn w:val="Style_2_ch"/>
    <w:link w:val="Style_158"/>
  </w:style>
  <w:style w:styleId="Style_159" w:type="paragraph">
    <w:name w:val="ConsTitle"/>
    <w:link w:val="Style_159_ch"/>
    <w:pPr>
      <w:widowControl w:val="0"/>
      <w:ind w:right="19772"/>
    </w:pPr>
    <w:rPr>
      <w:rFonts w:ascii="Arial" w:hAnsi="Arial"/>
      <w:b w:val="1"/>
      <w:color w:val="000000"/>
    </w:rPr>
  </w:style>
  <w:style w:styleId="Style_159_ch" w:type="character">
    <w:name w:val="ConsTitle"/>
    <w:link w:val="Style_159"/>
    <w:rPr>
      <w:rFonts w:ascii="Arial" w:hAnsi="Arial"/>
      <w:b w:val="1"/>
      <w:color w:val="000000"/>
    </w:rPr>
  </w:style>
  <w:style w:styleId="Style_160" w:type="paragraph">
    <w:name w:val="Title"/>
    <w:next w:val="Style_2"/>
    <w:link w:val="Style_160_ch"/>
    <w:uiPriority w:val="10"/>
    <w:qFormat/>
    <w:pPr>
      <w:spacing w:after="567" w:before="567"/>
      <w:ind/>
      <w:jc w:val="center"/>
    </w:pPr>
    <w:rPr>
      <w:rFonts w:ascii="XO Thames" w:hAnsi="XO Thames"/>
      <w:b w:val="1"/>
      <w:caps w:val="1"/>
      <w:color w:val="000000"/>
      <w:sz w:val="40"/>
    </w:rPr>
  </w:style>
  <w:style w:styleId="Style_160_ch" w:type="character">
    <w:name w:val="Title"/>
    <w:link w:val="Style_160"/>
    <w:rPr>
      <w:rFonts w:ascii="XO Thames" w:hAnsi="XO Thames"/>
      <w:b w:val="1"/>
      <w:caps w:val="1"/>
      <w:color w:val="000000"/>
      <w:sz w:val="40"/>
    </w:rPr>
  </w:style>
  <w:style w:styleId="Style_161" w:type="paragraph">
    <w:name w:val="Обычный111"/>
    <w:link w:val="Style_161_ch"/>
    <w:rPr>
      <w:color w:val="000000"/>
      <w:sz w:val="24"/>
    </w:rPr>
  </w:style>
  <w:style w:styleId="Style_161_ch" w:type="character">
    <w:name w:val="Обычный111"/>
    <w:link w:val="Style_161"/>
    <w:rPr>
      <w:color w:val="000000"/>
      <w:sz w:val="24"/>
    </w:rPr>
  </w:style>
  <w:style w:styleId="Style_162" w:type="paragraph">
    <w:name w:val="heading 4"/>
    <w:basedOn w:val="Style_28"/>
    <w:next w:val="Style_2"/>
    <w:link w:val="Style_162_ch"/>
    <w:uiPriority w:val="9"/>
    <w:qFormat/>
    <w:pPr>
      <w:ind/>
      <w:outlineLvl w:val="3"/>
    </w:pPr>
  </w:style>
  <w:style w:styleId="Style_162_ch" w:type="character">
    <w:name w:val="heading 4"/>
    <w:basedOn w:val="Style_28_ch"/>
    <w:link w:val="Style_162"/>
  </w:style>
  <w:style w:styleId="Style_163" w:type="paragraph">
    <w:name w:val="default"/>
    <w:basedOn w:val="Style_2"/>
    <w:link w:val="Style_163_ch"/>
    <w:pPr>
      <w:spacing w:afterAutospacing="on" w:beforeAutospacing="on"/>
      <w:ind/>
    </w:pPr>
  </w:style>
  <w:style w:styleId="Style_163_ch" w:type="character">
    <w:name w:val="default"/>
    <w:basedOn w:val="Style_2_ch"/>
    <w:link w:val="Style_163"/>
  </w:style>
  <w:style w:styleId="Style_164" w:type="paragraph">
    <w:name w:val="s_1"/>
    <w:basedOn w:val="Style_2"/>
    <w:link w:val="Style_164_ch"/>
    <w:pPr>
      <w:spacing w:afterAutospacing="on" w:beforeAutospacing="on"/>
      <w:ind/>
    </w:pPr>
  </w:style>
  <w:style w:styleId="Style_164_ch" w:type="character">
    <w:name w:val="s_1"/>
    <w:basedOn w:val="Style_2_ch"/>
    <w:link w:val="Style_164"/>
  </w:style>
  <w:style w:styleId="Style_165" w:type="paragraph">
    <w:name w:val="Активная гипертекстовая ссылка"/>
    <w:link w:val="Style_165_ch"/>
    <w:rPr>
      <w:b w:val="1"/>
      <w:color w:val="008000"/>
      <w:u w:val="single"/>
    </w:rPr>
  </w:style>
  <w:style w:styleId="Style_165_ch" w:type="character">
    <w:name w:val="Активная гипертекстовая ссылка"/>
    <w:link w:val="Style_165"/>
    <w:rPr>
      <w:b w:val="1"/>
      <w:color w:val="008000"/>
      <w:u w:val="single"/>
    </w:rPr>
  </w:style>
  <w:style w:styleId="Style_166" w:type="paragraph">
    <w:name w:val="Body Text Indent 3"/>
    <w:basedOn w:val="Style_2"/>
    <w:link w:val="Style_166_ch"/>
    <w:pPr>
      <w:spacing w:after="120"/>
      <w:ind w:left="283"/>
    </w:pPr>
    <w:rPr>
      <w:rFonts w:ascii="Arial" w:hAnsi="Arial"/>
      <w:sz w:val="16"/>
    </w:rPr>
  </w:style>
  <w:style w:styleId="Style_166_ch" w:type="character">
    <w:name w:val="Body Text Indent 3"/>
    <w:basedOn w:val="Style_2_ch"/>
    <w:link w:val="Style_166"/>
    <w:rPr>
      <w:rFonts w:ascii="Arial" w:hAnsi="Arial"/>
      <w:sz w:val="16"/>
    </w:rPr>
  </w:style>
  <w:style w:styleId="Style_167" w:type="paragraph">
    <w:name w:val="Колонтитул (левый)"/>
    <w:basedOn w:val="Style_168"/>
    <w:next w:val="Style_2"/>
    <w:link w:val="Style_167_ch"/>
    <w:pPr>
      <w:ind/>
      <w:jc w:val="both"/>
    </w:pPr>
    <w:rPr>
      <w:sz w:val="16"/>
    </w:rPr>
  </w:style>
  <w:style w:styleId="Style_167_ch" w:type="character">
    <w:name w:val="Колонтитул (левый)"/>
    <w:basedOn w:val="Style_168_ch"/>
    <w:link w:val="Style_167"/>
    <w:rPr>
      <w:sz w:val="16"/>
    </w:rPr>
  </w:style>
  <w:style w:styleId="Style_169" w:type="paragraph">
    <w:name w:val="Основной текст с отступом 212"/>
    <w:basedOn w:val="Style_2"/>
    <w:link w:val="Style_169_ch"/>
    <w:pPr>
      <w:ind w:firstLine="720"/>
    </w:pPr>
  </w:style>
  <w:style w:styleId="Style_169_ch" w:type="character">
    <w:name w:val="Основной текст с отступом 212"/>
    <w:basedOn w:val="Style_2_ch"/>
    <w:link w:val="Style_169"/>
  </w:style>
  <w:style w:styleId="Style_170" w:type="paragraph">
    <w:name w:val="Знак Знак Знак Знак4"/>
    <w:basedOn w:val="Style_2"/>
    <w:link w:val="Style_170_ch"/>
    <w:pPr>
      <w:spacing w:afterAutospacing="on" w:beforeAutospacing="on"/>
      <w:ind/>
      <w:jc w:val="both"/>
    </w:pPr>
    <w:rPr>
      <w:rFonts w:ascii="Tahoma" w:hAnsi="Tahoma"/>
      <w:sz w:val="20"/>
    </w:rPr>
  </w:style>
  <w:style w:styleId="Style_170_ch" w:type="character">
    <w:name w:val="Знак Знак Знак Знак4"/>
    <w:basedOn w:val="Style_2_ch"/>
    <w:link w:val="Style_170"/>
    <w:rPr>
      <w:rFonts w:ascii="Tahoma" w:hAnsi="Tahoma"/>
      <w:sz w:val="20"/>
    </w:rPr>
  </w:style>
  <w:style w:styleId="Style_171" w:type="paragraph">
    <w:name w:val="Основной шрифт абзаца3"/>
    <w:link w:val="Style_171_ch"/>
    <w:rPr>
      <w:color w:val="000000"/>
    </w:rPr>
  </w:style>
  <w:style w:styleId="Style_171_ch" w:type="character">
    <w:name w:val="Основной шрифт абзаца3"/>
    <w:link w:val="Style_171"/>
    <w:rPr>
      <w:color w:val="000000"/>
    </w:rPr>
  </w:style>
  <w:style w:styleId="Style_29" w:type="paragraph">
    <w:name w:val="heading 2"/>
    <w:basedOn w:val="Style_2"/>
    <w:next w:val="Style_2"/>
    <w:link w:val="Style_29_ch"/>
    <w:uiPriority w:val="9"/>
    <w:qFormat/>
    <w:pPr>
      <w:keepNext w:val="1"/>
      <w:ind/>
      <w:outlineLvl w:val="1"/>
    </w:pPr>
    <w:rPr>
      <w:b w:val="1"/>
      <w:sz w:val="28"/>
    </w:rPr>
  </w:style>
  <w:style w:styleId="Style_29_ch" w:type="character">
    <w:name w:val="heading 2"/>
    <w:basedOn w:val="Style_2_ch"/>
    <w:link w:val="Style_29"/>
    <w:rPr>
      <w:b w:val="1"/>
      <w:sz w:val="28"/>
    </w:rPr>
  </w:style>
  <w:style w:styleId="Style_172" w:type="paragraph">
    <w:name w:val="Знак Знак Знак Знак Знак Знак2"/>
    <w:basedOn w:val="Style_2"/>
    <w:link w:val="Style_172_ch"/>
    <w:pPr>
      <w:spacing w:afterAutospacing="on" w:beforeAutospacing="on"/>
      <w:ind/>
      <w:jc w:val="both"/>
    </w:pPr>
    <w:rPr>
      <w:rFonts w:ascii="Tahoma" w:hAnsi="Tahoma"/>
      <w:sz w:val="20"/>
    </w:rPr>
  </w:style>
  <w:style w:styleId="Style_172_ch" w:type="character">
    <w:name w:val="Знак Знак Знак Знак Знак Знак2"/>
    <w:basedOn w:val="Style_2_ch"/>
    <w:link w:val="Style_172"/>
    <w:rPr>
      <w:rFonts w:ascii="Tahoma" w:hAnsi="Tahoma"/>
      <w:sz w:val="20"/>
    </w:rPr>
  </w:style>
  <w:style w:styleId="Style_121" w:type="paragraph">
    <w:name w:val="Таблицы (моноширинный)"/>
    <w:basedOn w:val="Style_2"/>
    <w:next w:val="Style_2"/>
    <w:link w:val="Style_121_ch"/>
    <w:pPr>
      <w:widowControl w:val="0"/>
      <w:ind/>
      <w:jc w:val="both"/>
    </w:pPr>
    <w:rPr>
      <w:rFonts w:ascii="Courier New" w:hAnsi="Courier New"/>
    </w:rPr>
  </w:style>
  <w:style w:styleId="Style_121_ch" w:type="character">
    <w:name w:val="Таблицы (моноширинный)"/>
    <w:basedOn w:val="Style_2_ch"/>
    <w:link w:val="Style_121"/>
    <w:rPr>
      <w:rFonts w:ascii="Courier New" w:hAnsi="Courier New"/>
    </w:rPr>
  </w:style>
  <w:style w:styleId="Style_173" w:type="paragraph">
    <w:name w:val="apple-converted-space"/>
    <w:link w:val="Style_173_ch"/>
    <w:rPr>
      <w:color w:val="000000"/>
    </w:rPr>
  </w:style>
  <w:style w:styleId="Style_173_ch" w:type="character">
    <w:name w:val="apple-converted-space"/>
    <w:link w:val="Style_173"/>
    <w:rPr>
      <w:color w:val="000000"/>
    </w:rPr>
  </w:style>
  <w:style w:styleId="Style_174" w:type="paragraph">
    <w:name w:val="Body Text"/>
    <w:basedOn w:val="Style_2"/>
    <w:link w:val="Style_174_ch"/>
    <w:rPr>
      <w:sz w:val="28"/>
    </w:rPr>
  </w:style>
  <w:style w:styleId="Style_174_ch" w:type="character">
    <w:name w:val="Body Text"/>
    <w:basedOn w:val="Style_2_ch"/>
    <w:link w:val="Style_174"/>
    <w:rPr>
      <w:sz w:val="28"/>
    </w:rPr>
  </w:style>
  <w:style w:styleId="Style_175" w:type="paragraph">
    <w:name w:val="Знак Знак Знак Знак3"/>
    <w:basedOn w:val="Style_2"/>
    <w:link w:val="Style_175_ch"/>
    <w:pPr>
      <w:spacing w:afterAutospacing="on" w:beforeAutospacing="on"/>
      <w:ind/>
      <w:jc w:val="both"/>
    </w:pPr>
    <w:rPr>
      <w:rFonts w:ascii="Tahoma" w:hAnsi="Tahoma"/>
      <w:sz w:val="20"/>
    </w:rPr>
  </w:style>
  <w:style w:styleId="Style_175_ch" w:type="character">
    <w:name w:val="Знак Знак Знак Знак3"/>
    <w:basedOn w:val="Style_2_ch"/>
    <w:link w:val="Style_175"/>
    <w:rPr>
      <w:rFonts w:ascii="Tahoma" w:hAnsi="Tahoma"/>
      <w:sz w:val="20"/>
    </w:rPr>
  </w:style>
  <w:style w:styleId="Style_176" w:type="paragraph">
    <w:name w:val="Технический комментарий"/>
    <w:basedOn w:val="Style_2"/>
    <w:next w:val="Style_2"/>
    <w:link w:val="Style_176_ch"/>
    <w:pPr>
      <w:widowControl w:val="0"/>
      <w:ind/>
    </w:pPr>
    <w:rPr>
      <w:rFonts w:ascii="Arial" w:hAnsi="Arial"/>
    </w:rPr>
  </w:style>
  <w:style w:styleId="Style_176_ch" w:type="character">
    <w:name w:val="Технический комментарий"/>
    <w:basedOn w:val="Style_2_ch"/>
    <w:link w:val="Style_176"/>
    <w:rPr>
      <w:rFonts w:ascii="Arial" w:hAnsi="Arial"/>
    </w:rPr>
  </w:style>
  <w:style w:styleId="Style_168" w:type="paragraph">
    <w:name w:val="Текст (лев. подпись)"/>
    <w:basedOn w:val="Style_2"/>
    <w:next w:val="Style_2"/>
    <w:link w:val="Style_168_ch"/>
    <w:pPr>
      <w:widowControl w:val="0"/>
      <w:ind/>
    </w:pPr>
    <w:rPr>
      <w:rFonts w:ascii="Arial" w:hAnsi="Arial"/>
    </w:rPr>
  </w:style>
  <w:style w:styleId="Style_168_ch" w:type="character">
    <w:name w:val="Текст (лев. подпись)"/>
    <w:basedOn w:val="Style_2_ch"/>
    <w:link w:val="Style_168"/>
    <w:rPr>
      <w:rFonts w:ascii="Arial" w:hAnsi="Arial"/>
    </w:rPr>
  </w:style>
  <w:style w:styleId="Style_177" w:type="table">
    <w:name w:val="Table Grid"/>
    <w:basedOn w:val="Style_3"/>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78" w:type="table">
    <w:name w:val="Сетка таблицы11"/>
    <w:basedOn w:val="Style_3"/>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79" w:type="table">
    <w:name w:val="Сетка таблицы3"/>
    <w:basedOn w:val="Style_3"/>
    <w:tblPr>
      <w:tblBorders>
        <w:top w:color="000000" w:sz="4" w:val="single"/>
        <w:left w:color="000000" w:sz="4" w:val="single"/>
        <w:bottom w:color="000000" w:sz="4" w:val="single"/>
        <w:right w:color="000000" w:sz="4" w:val="single"/>
        <w:insideH w:color="000000" w:sz="4" w:val="single"/>
        <w:insideV w:color="000000" w:sz="4" w:val="single"/>
      </w:tblBorders>
    </w:tblPr>
  </w:style>
  <w:style w:default="1" w:styleId="Style_3" w:type="table">
    <w:name w:val="Normal Table"/>
    <w:tblPr>
      <w:tblInd w:type="dxa" w:w="0"/>
      <w:tblCellMar>
        <w:top w:type="dxa" w:w="0"/>
        <w:left w:type="dxa" w:w="108"/>
        <w:bottom w:type="dxa" w:w="0"/>
        <w:right w:type="dxa" w:w="108"/>
      </w:tblCellMar>
    </w:tblPr>
  </w:style>
  <w:style w:styleId="Style_180" w:type="table">
    <w:name w:val="Сетка таблицы2"/>
    <w:basedOn w:val="Style_3"/>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81" w:type="table">
    <w:name w:val="Сетка таблицы1"/>
    <w:basedOn w:val="Style_3"/>
    <w:tblPr>
      <w:tblBorders>
        <w:top w:color="000000" w:sz="4" w:val="single"/>
        <w:left w:color="000000" w:sz="4" w:val="single"/>
        <w:bottom w:color="000000" w:sz="4" w:val="single"/>
        <w:right w:color="000000" w:sz="4" w:val="single"/>
        <w:insideH w:color="000000" w:sz="4" w:val="single"/>
        <w:insideV w:color="000000" w:sz="4" w:val="single"/>
      </w:tblBorders>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6" Target="styles.xml" Type="http://schemas.openxmlformats.org/officeDocument/2006/relationships/styles"/>
  <Relationship Id="rId1" Target="header1.xml" Type="http://schemas.openxmlformats.org/officeDocument/2006/relationships/header"/>
  <Relationship Id="rId10" Target="numbering.xml" Type="http://schemas.openxmlformats.org/officeDocument/2006/relationships/numbering"/>
  <Relationship Id="rId2" Target="header2.xml" Type="http://schemas.openxmlformats.org/officeDocument/2006/relationships/header"/>
  <Relationship Id="rId3" Target="media/1.jpeg" Type="http://schemas.openxmlformats.org/officeDocument/2006/relationships/image"/>
  <Relationship Id="rId8" Target="webSettings.xml" Type="http://schemas.openxmlformats.org/officeDocument/2006/relationships/webSettings"/>
  <Relationship Id="rId4" Target="fontTable.xml" Type="http://schemas.openxmlformats.org/officeDocument/2006/relationships/fontTable"/>
  <Relationship Id="rId9" Target="theme/theme1.xml" Type="http://schemas.openxmlformats.org/officeDocument/2006/relationships/theme"/>
  <Relationship Id="rId7" Target="stylesWithEffects.xml" Type="http://schemas.microsoft.com/office/2007/relationships/stylesWithEffects"/>
  <Relationship Id="rId5" Target="settings.xml" Type="http://schemas.openxmlformats.org/officeDocument/2006/relationships/settings"/>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gradFill>
      </a:fillStyleLst>
      <a:lnStyleLst>
        <a:ln w="6350">
          <a:solidFill>
            <a:schemeClr val="ph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MyOffice-CoreFramework-Windows/34-1238.862.9476.867.1@6a6f965769ddd834e814912714f1fa4bc0274a9d</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modified xsi:type="dcterms:W3CDTF">2026-08-20T11:49:15Z</dcterms:modified>
</cp:coreProperties>
</file>