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center"/>
        <w:rPr>
          <w:sz w:val="28"/>
        </w:rPr>
      </w:pPr>
      <w:r>
        <w:rPr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5372100</wp:posOffset>
                </wp:positionH>
                <wp:positionV relativeFrom="paragraph">
                  <wp:posOffset>-381000</wp:posOffset>
                </wp:positionV>
                <wp:extent cx="752475" cy="34290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7524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000000">
                            <w:pPr>
                              <w:pStyle w:val="Style_2"/>
                              <w:rPr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sz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anchor="t" bIns="0" lIns="0" rIns="0" tIns="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2577464</wp:posOffset>
            </wp:positionH>
            <wp:positionV relativeFrom="page">
              <wp:posOffset>723899</wp:posOffset>
            </wp:positionV>
            <wp:extent cx="807790" cy="876375"/>
            <wp:effectExtent b="0" l="0" r="0" t="0"/>
            <wp:wrapTopAndBottom distB="0" dist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807790" cy="8763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>РОССИЙСКАЯ ФЕДЕРАЦИЯ</w:t>
      </w:r>
    </w:p>
    <w:p w14:paraId="05000000">
      <w:pPr>
        <w:ind/>
        <w:jc w:val="center"/>
        <w:rPr>
          <w:sz w:val="28"/>
        </w:rPr>
      </w:pPr>
      <w:r>
        <w:rPr>
          <w:sz w:val="28"/>
        </w:rPr>
        <w:t>РОСТОВСКАЯ ОБЛАСТЬ</w:t>
      </w:r>
    </w:p>
    <w:p w14:paraId="06000000">
      <w:pPr>
        <w:ind/>
        <w:jc w:val="center"/>
        <w:rPr>
          <w:sz w:val="28"/>
        </w:rPr>
      </w:pPr>
      <w:r>
        <w:rPr>
          <w:sz w:val="28"/>
        </w:rPr>
        <w:t>МУНИЦИПАЛЬНОЕ ОБРАЗОВАНИЕ «БЕЛОКАЛИТВИНСКИЙ РАЙОН»</w:t>
      </w:r>
    </w:p>
    <w:p w14:paraId="07000000">
      <w:pPr>
        <w:ind/>
        <w:jc w:val="center"/>
        <w:rPr>
          <w:sz w:val="28"/>
        </w:rPr>
      </w:pPr>
      <w:r>
        <w:rPr>
          <w:sz w:val="28"/>
        </w:rPr>
        <w:t>АДМИНИСТРАЦИЯ    БЕЛОКАЛИТВИНСКОГО    РАЙОНА</w:t>
      </w:r>
    </w:p>
    <w:p w14:paraId="08000000">
      <w:pPr>
        <w:spacing w:before="120"/>
        <w:ind/>
        <w:jc w:val="center"/>
        <w:rPr>
          <w:b w:val="1"/>
          <w:sz w:val="28"/>
        </w:rPr>
      </w:pPr>
      <w:r>
        <w:rPr>
          <w:b w:val="1"/>
          <w:sz w:val="28"/>
        </w:rPr>
        <w:t>ПОСТАНОВЛЕНИЕ</w:t>
      </w:r>
    </w:p>
    <w:p w14:paraId="09000000">
      <w:pPr>
        <w:spacing w:before="120"/>
        <w:ind/>
        <w:jc w:val="center"/>
        <w:rPr>
          <w:rFonts w:ascii="Arial" w:hAnsi="Arial"/>
          <w:sz w:val="28"/>
        </w:rPr>
      </w:pPr>
      <w:r>
        <w:rPr>
          <w:sz w:val="28"/>
        </w:rPr>
        <w:t>от ______.2026</w:t>
      </w:r>
      <w:r>
        <w:rPr>
          <w:rFonts w:ascii="Arial" w:hAnsi="Arial"/>
          <w:sz w:val="28"/>
        </w:rPr>
        <w:t xml:space="preserve">      </w:t>
      </w:r>
      <w:r>
        <w:rPr>
          <w:sz w:val="28"/>
        </w:rPr>
        <w:t>№____</w:t>
      </w:r>
      <w:r>
        <w:rPr>
          <w:rFonts w:ascii="Arial" w:hAnsi="Arial"/>
          <w:sz w:val="28"/>
        </w:rPr>
        <w:t xml:space="preserve">                         </w:t>
      </w:r>
    </w:p>
    <w:p w14:paraId="0A000000">
      <w:pPr>
        <w:spacing w:before="120"/>
        <w:ind/>
        <w:jc w:val="center"/>
        <w:rPr>
          <w:sz w:val="28"/>
        </w:rPr>
      </w:pPr>
      <w:r>
        <w:rPr>
          <w:sz w:val="28"/>
        </w:rPr>
        <w:t>г. Белая Калитва</w:t>
      </w:r>
    </w:p>
    <w:p w14:paraId="0B000000">
      <w:pPr>
        <w:ind/>
        <w:jc w:val="center"/>
        <w:rPr>
          <w:sz w:val="28"/>
        </w:rPr>
      </w:pPr>
    </w:p>
    <w:p w14:paraId="0C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 внесении изменений в постановление Администрации Белокалитвинского района от 1</w:t>
      </w:r>
      <w:r>
        <w:rPr>
          <w:b w:val="1"/>
          <w:sz w:val="28"/>
        </w:rPr>
        <w:t>3.06.2023</w:t>
      </w:r>
      <w:r>
        <w:rPr>
          <w:b w:val="1"/>
          <w:sz w:val="28"/>
        </w:rPr>
        <w:t xml:space="preserve"> №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899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</w:p>
    <w:p w14:paraId="0E000000">
      <w:pPr>
        <w:ind w:firstLine="720" w:left="0"/>
        <w:jc w:val="both"/>
        <w:rPr>
          <w:b w:val="1"/>
          <w:sz w:val="28"/>
        </w:rPr>
      </w:pPr>
      <w:r>
        <w:rPr>
          <w:color w:themeColor="text1" w:val="000000"/>
          <w:sz w:val="28"/>
        </w:rPr>
        <w:t>В соответствии с Федеральным законом от 27.07.2010 № 210-ФЗ «Об организации предоставления государственных и муниципальных услуг</w:t>
      </w:r>
      <w:r>
        <w:rPr>
          <w:color w:themeColor="text1" w:val="000000"/>
          <w:sz w:val="28"/>
        </w:rPr>
        <w:t>», Администрация</w:t>
      </w:r>
      <w:r>
        <w:rPr>
          <w:sz w:val="28"/>
        </w:rPr>
        <w:t xml:space="preserve"> Белокалитвинского района </w:t>
      </w:r>
      <w:r>
        <w:rPr>
          <w:b w:val="1"/>
          <w:sz w:val="28"/>
        </w:rPr>
        <w:t xml:space="preserve">п о с т а н о в л я е </w:t>
      </w:r>
      <w:r>
        <w:rPr>
          <w:b w:val="1"/>
          <w:sz w:val="28"/>
        </w:rPr>
        <w:t>т :</w:t>
      </w:r>
    </w:p>
    <w:p w14:paraId="0F000000">
      <w:pPr>
        <w:ind/>
        <w:jc w:val="both"/>
        <w:rPr>
          <w:sz w:val="28"/>
        </w:rPr>
      </w:pPr>
    </w:p>
    <w:p w14:paraId="10000000">
      <w:pPr>
        <w:pStyle w:val="Style_3"/>
        <w:ind w:firstLine="709" w:left="0"/>
        <w:jc w:val="both"/>
        <w:rPr>
          <w:b w:val="1"/>
          <w:sz w:val="28"/>
        </w:rPr>
      </w:pPr>
      <w:r>
        <w:rPr>
          <w:b w:val="0"/>
          <w:sz w:val="28"/>
        </w:rPr>
        <w:t>1. Внести в приложение к постановлению Администрации Белокалитвинского района от</w:t>
      </w:r>
      <w:r>
        <w:rPr>
          <w:b w:val="0"/>
          <w:sz w:val="28"/>
        </w:rPr>
        <w:t xml:space="preserve"> </w:t>
      </w:r>
      <w:r>
        <w:rPr>
          <w:sz w:val="28"/>
        </w:rPr>
        <w:t>13.06.2023 № 899</w:t>
      </w:r>
      <w:r>
        <w:rPr>
          <w:b w:val="0"/>
          <w:sz w:val="28"/>
        </w:rPr>
        <w:t xml:space="preserve"> «Об утверждении админист</w:t>
      </w:r>
      <w:r>
        <w:rPr>
          <w:sz w:val="28"/>
        </w:rPr>
        <w:t xml:space="preserve">ративного регламента </w:t>
      </w:r>
      <w:r>
        <w:rPr>
          <w:sz w:val="28"/>
        </w:rPr>
        <w:t>предоставлени</w:t>
      </w:r>
      <w:r>
        <w:rPr>
          <w:sz w:val="28"/>
        </w:rPr>
        <w:t>я</w:t>
      </w:r>
      <w:r>
        <w:rPr>
          <w:sz w:val="28"/>
        </w:rPr>
        <w:t xml:space="preserve"> муниципальной услуги «</w:t>
      </w:r>
      <w:r>
        <w:rPr>
          <w:sz w:val="28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</w:r>
      <w:r>
        <w:rPr>
          <w:sz w:val="28"/>
        </w:rPr>
        <w:t xml:space="preserve"> следующие изменения:</w:t>
      </w:r>
    </w:p>
    <w:p w14:paraId="11000000">
      <w:pPr>
        <w:pStyle w:val="Style_3"/>
        <w:ind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1.1. Пункт 2.12. «В случае обращения за услугой «Направление уведомления о планируемом сносе объекта капитального строительства» </w:t>
      </w:r>
      <w:r>
        <w:rPr>
          <w:sz w:val="28"/>
        </w:rPr>
        <w:t>подраздела</w:t>
      </w:r>
      <w:r>
        <w:rPr>
          <w:sz w:val="28"/>
        </w:rPr>
        <w:t xml:space="preserve"> «Основания для отказа в предоставлении муниципальной услуги» Раздела II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Стандарт предоставления государственной (муниципальной услуги)</w:t>
      </w:r>
      <w:r>
        <w:rPr>
          <w:rFonts w:ascii="Times New Roman" w:hAnsi="Times New Roman"/>
          <w:sz w:val="28"/>
        </w:rPr>
        <w:t>»</w:t>
      </w:r>
      <w:r>
        <w:rPr>
          <w:sz w:val="28"/>
        </w:rPr>
        <w:t xml:space="preserve"> дополнить подпунктом «5»</w:t>
      </w:r>
      <w:r>
        <w:rPr>
          <w:sz w:val="28"/>
        </w:rPr>
        <w:t xml:space="preserve"> </w:t>
      </w:r>
      <w:r>
        <w:rPr>
          <w:sz w:val="28"/>
        </w:rPr>
        <w:t>следующего содержания:</w:t>
      </w:r>
    </w:p>
    <w:p w14:paraId="12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«5) </w:t>
      </w:r>
      <w:r>
        <w:rPr>
          <w:sz w:val="28"/>
        </w:rPr>
        <w:t xml:space="preserve">наличие на Едином портале </w:t>
      </w:r>
      <w:r>
        <w:rPr>
          <w:sz w:val="28"/>
        </w:rPr>
        <w:t>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</w:t>
      </w:r>
      <w:r>
        <w:rPr>
          <w:sz w:val="28"/>
        </w:rPr>
        <w:t>»</w:t>
      </w:r>
      <w:r>
        <w:rPr>
          <w:sz w:val="28"/>
        </w:rPr>
        <w:t>.</w:t>
      </w:r>
    </w:p>
    <w:p w14:paraId="13000000">
      <w:pPr>
        <w:pStyle w:val="Style_3"/>
        <w:ind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1.2. </w:t>
      </w:r>
      <w:r>
        <w:rPr>
          <w:sz w:val="28"/>
        </w:rPr>
        <w:t xml:space="preserve">Пункт 2.12. «В случае обращения за услугой «Направление уведомления о завершении сноса объекта капитального строительства» </w:t>
      </w:r>
      <w:r>
        <w:rPr>
          <w:sz w:val="28"/>
        </w:rPr>
        <w:t>подраздела</w:t>
      </w:r>
      <w:r>
        <w:rPr>
          <w:sz w:val="28"/>
        </w:rPr>
        <w:t xml:space="preserve"> «Основания для отказа в предоставлении муниципальной услуги» Раздела II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Стандарт предоставления государственной (муниципальной услуги)</w:t>
      </w:r>
      <w:r>
        <w:rPr>
          <w:rFonts w:ascii="Times New Roman" w:hAnsi="Times New Roman"/>
          <w:sz w:val="28"/>
        </w:rPr>
        <w:t>»</w:t>
      </w:r>
      <w:r>
        <w:rPr>
          <w:sz w:val="28"/>
        </w:rPr>
        <w:t xml:space="preserve"> дополнить подпунктом «3»</w:t>
      </w:r>
      <w:r>
        <w:rPr>
          <w:sz w:val="28"/>
        </w:rPr>
        <w:t xml:space="preserve"> </w:t>
      </w:r>
      <w:r>
        <w:rPr>
          <w:sz w:val="28"/>
        </w:rPr>
        <w:t>следующего содержания:</w:t>
      </w:r>
    </w:p>
    <w:p w14:paraId="14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«3) </w:t>
      </w:r>
      <w:r>
        <w:rPr>
          <w:sz w:val="28"/>
        </w:rPr>
        <w:t xml:space="preserve">наличие на Едином портале </w:t>
      </w:r>
      <w:r>
        <w:rPr>
          <w:sz w:val="28"/>
        </w:rPr>
        <w:t>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</w:t>
      </w:r>
      <w:r>
        <w:rPr>
          <w:sz w:val="28"/>
        </w:rPr>
        <w:t>»</w:t>
      </w:r>
      <w:r>
        <w:rPr>
          <w:sz w:val="28"/>
        </w:rPr>
        <w:t>.</w:t>
      </w:r>
    </w:p>
    <w:p w14:paraId="15000000">
      <w:pPr>
        <w:pStyle w:val="Style_3"/>
        <w:ind/>
        <w:jc w:val="both"/>
        <w:rPr>
          <w:sz w:val="28"/>
        </w:rPr>
      </w:pPr>
    </w:p>
    <w:p w14:paraId="16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1.3. </w:t>
      </w:r>
      <w:r>
        <w:rPr>
          <w:sz w:val="28"/>
        </w:rPr>
        <w:t xml:space="preserve">Пункт 2.4. </w:t>
      </w:r>
      <w:r>
        <w:rPr>
          <w:sz w:val="28"/>
        </w:rPr>
        <w:t xml:space="preserve">Раздела </w:t>
      </w:r>
      <w:r>
        <w:rPr>
          <w:sz w:val="28"/>
        </w:rPr>
        <w:t xml:space="preserve">II </w:t>
      </w:r>
      <w:r>
        <w:rPr>
          <w:sz w:val="28"/>
        </w:rPr>
        <w:t>«</w:t>
      </w:r>
      <w:r>
        <w:rPr>
          <w:sz w:val="28"/>
        </w:rPr>
        <w:t>Стандарт предоставления государственной (муниципальной услуги)</w:t>
      </w:r>
      <w:r>
        <w:rPr>
          <w:rFonts w:ascii="Times New Roman" w:hAnsi="Times New Roman"/>
          <w:sz w:val="28"/>
        </w:rPr>
        <w:t>»</w:t>
      </w:r>
      <w:r>
        <w:rPr>
          <w:sz w:val="28"/>
        </w:rPr>
        <w:t xml:space="preserve"> дополнить подпунктом «2.4.1» </w:t>
      </w:r>
      <w:r>
        <w:rPr>
          <w:sz w:val="28"/>
        </w:rPr>
        <w:t>следующего содержания:</w:t>
      </w:r>
    </w:p>
    <w:p w14:paraId="17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«2.4.1. </w:t>
      </w:r>
      <w:r>
        <w:rPr>
          <w:sz w:val="28"/>
        </w:rPr>
        <w:t xml:space="preserve">Не допускаются: </w:t>
      </w:r>
    </w:p>
    <w:p w14:paraId="18000000">
      <w:pPr>
        <w:pStyle w:val="Style_3"/>
        <w:ind/>
        <w:jc w:val="both"/>
        <w:rPr>
          <w:sz w:val="28"/>
        </w:rPr>
      </w:pPr>
      <w:r>
        <w:rPr>
          <w:sz w:val="28"/>
        </w:rPr>
        <w:t>подача запроса о предоставлении муниципальной услуги и иных документов, необходимых для ее предоставления, с использованием информационно - 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14:paraId="19000000">
      <w:pPr>
        <w:pStyle w:val="Style_3"/>
        <w:ind/>
        <w:jc w:val="both"/>
        <w:rPr>
          <w:sz w:val="28"/>
        </w:rPr>
      </w:pPr>
      <w:r>
        <w:rPr>
          <w:sz w:val="28"/>
        </w:rPr>
        <w:t>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услуг».</w:t>
      </w:r>
      <w:bookmarkStart w:id="1" w:name="_GoBack"/>
      <w:bookmarkEnd w:id="1"/>
    </w:p>
    <w:p w14:paraId="1A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1.4. </w:t>
      </w:r>
      <w:r>
        <w:rPr>
          <w:sz w:val="28"/>
        </w:rPr>
        <w:t>Р</w:t>
      </w:r>
      <w:r>
        <w:rPr>
          <w:sz w:val="28"/>
        </w:rPr>
        <w:t>аздел I</w:t>
      </w:r>
      <w:r>
        <w:rPr>
          <w:sz w:val="28"/>
        </w:rPr>
        <w:t>V</w:t>
      </w:r>
      <w:r>
        <w:rPr>
          <w:sz w:val="28"/>
        </w:rPr>
        <w:t xml:space="preserve"> «</w:t>
      </w:r>
      <w:r>
        <w:rPr>
          <w:sz w:val="28"/>
        </w:rPr>
        <w:t>Формы контроля за исполнением административного регламента» признать утратившим силу.</w:t>
      </w:r>
    </w:p>
    <w:p w14:paraId="1B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1.5. Раздел V «Досудебный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служащих» </w:t>
      </w:r>
      <w:r>
        <w:rPr>
          <w:sz w:val="28"/>
        </w:rPr>
        <w:t>признать</w:t>
      </w:r>
      <w:r>
        <w:rPr>
          <w:sz w:val="28"/>
        </w:rPr>
        <w:t xml:space="preserve"> утратившим силу.</w:t>
      </w:r>
      <w:r>
        <w:rPr>
          <w:sz w:val="28"/>
        </w:rPr>
        <w:tab/>
      </w:r>
    </w:p>
    <w:p w14:paraId="1C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2. Постановление вступает в силу </w:t>
      </w:r>
      <w:r>
        <w:rPr>
          <w:sz w:val="28"/>
        </w:rPr>
        <w:t>со дня его</w:t>
      </w:r>
      <w:r>
        <w:rPr>
          <w:sz w:val="28"/>
        </w:rPr>
        <w:t xml:space="preserve"> официального опубликования.</w:t>
      </w:r>
    </w:p>
    <w:p w14:paraId="1D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 xml:space="preserve">3. Контроль за исполнением настоящего постановления возложить на                 </w:t>
      </w:r>
      <w:r>
        <w:rPr>
          <w:sz w:val="28"/>
        </w:rPr>
        <w:t>и.о</w:t>
      </w:r>
      <w:r>
        <w:rPr>
          <w:sz w:val="28"/>
        </w:rPr>
        <w:t>. заместителя главы Администрации Белокалитвинского района по строительству, промышленности, транспорту, связи Кожанова М.С.</w:t>
      </w:r>
    </w:p>
    <w:p w14:paraId="1E000000">
      <w:pPr>
        <w:tabs>
          <w:tab w:leader="none" w:pos="285" w:val="left"/>
        </w:tabs>
        <w:ind/>
        <w:jc w:val="both"/>
        <w:rPr>
          <w:sz w:val="24"/>
        </w:rPr>
      </w:pPr>
    </w:p>
    <w:p w14:paraId="1F000000">
      <w:pPr>
        <w:tabs>
          <w:tab w:leader="none" w:pos="720" w:val="left"/>
          <w:tab w:leader="none" w:pos="851" w:val="left"/>
          <w:tab w:leader="none" w:pos="1134" w:val="left"/>
        </w:tabs>
        <w:ind/>
        <w:rPr>
          <w:sz w:val="28"/>
        </w:rPr>
      </w:pPr>
      <w:r>
        <w:rPr>
          <w:sz w:val="28"/>
        </w:rPr>
        <w:t>Глава  Администрации</w:t>
      </w:r>
      <w:r>
        <w:rPr>
          <w:sz w:val="28"/>
        </w:rPr>
        <w:t xml:space="preserve"> </w:t>
      </w:r>
    </w:p>
    <w:p w14:paraId="20000000">
      <w:pPr>
        <w:tabs>
          <w:tab w:leader="none" w:pos="285" w:val="left"/>
        </w:tabs>
        <w:ind/>
        <w:jc w:val="both"/>
        <w:rPr>
          <w:sz w:val="28"/>
        </w:rPr>
      </w:pPr>
      <w:r>
        <w:rPr>
          <w:sz w:val="28"/>
        </w:rPr>
        <w:t>Белокалитвинского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</w:t>
      </w:r>
      <w:r>
        <w:rPr>
          <w:sz w:val="28"/>
        </w:rPr>
        <w:tab/>
      </w:r>
      <w:r>
        <w:rPr>
          <w:sz w:val="28"/>
        </w:rPr>
        <w:t xml:space="preserve">           </w:t>
      </w:r>
      <w:r>
        <w:rPr>
          <w:sz w:val="28"/>
        </w:rPr>
        <w:t xml:space="preserve"> </w:t>
      </w:r>
      <w:r>
        <w:rPr>
          <w:sz w:val="28"/>
        </w:rPr>
        <w:t xml:space="preserve">О.А. Мельникова </w:t>
      </w:r>
    </w:p>
    <w:p w14:paraId="21000000">
      <w:pPr>
        <w:tabs>
          <w:tab w:leader="none" w:pos="285" w:val="left"/>
        </w:tabs>
        <w:ind/>
        <w:jc w:val="both"/>
        <w:rPr>
          <w:sz w:val="28"/>
        </w:rPr>
      </w:pPr>
    </w:p>
    <w:p w14:paraId="22000000">
      <w:pPr>
        <w:rPr>
          <w:sz w:val="24"/>
        </w:rPr>
      </w:pPr>
    </w:p>
    <w:p w14:paraId="23000000">
      <w:pPr>
        <w:rPr>
          <w:sz w:val="24"/>
        </w:rPr>
      </w:pPr>
    </w:p>
    <w:p w14:paraId="24000000">
      <w:pPr>
        <w:rPr>
          <w:sz w:val="24"/>
        </w:rPr>
      </w:pPr>
      <w:r>
        <w:rPr>
          <w:sz w:val="24"/>
        </w:rPr>
        <w:t xml:space="preserve">Проект вносит: </w:t>
      </w:r>
    </w:p>
    <w:p w14:paraId="25000000">
      <w:pPr>
        <w:rPr>
          <w:sz w:val="24"/>
          <w:u w:val="single"/>
        </w:rPr>
      </w:pPr>
      <w:r>
        <w:rPr>
          <w:sz w:val="24"/>
        </w:rPr>
        <w:t>Г</w:t>
      </w:r>
      <w:r>
        <w:rPr>
          <w:sz w:val="24"/>
        </w:rPr>
        <w:t>лавн</w:t>
      </w:r>
      <w:r>
        <w:rPr>
          <w:sz w:val="24"/>
        </w:rPr>
        <w:t>ый</w:t>
      </w:r>
      <w:r>
        <w:rPr>
          <w:sz w:val="24"/>
        </w:rPr>
        <w:t xml:space="preserve"> архитектор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</w:t>
      </w:r>
      <w:r>
        <w:rPr>
          <w:sz w:val="24"/>
        </w:rPr>
        <w:t xml:space="preserve">      </w:t>
      </w:r>
      <w:r>
        <w:rPr>
          <w:sz w:val="24"/>
        </w:rPr>
        <w:t xml:space="preserve">         </w:t>
      </w:r>
      <w:r>
        <w:rPr>
          <w:sz w:val="24"/>
        </w:rPr>
        <w:t>С.Н. Мищенко</w:t>
      </w:r>
    </w:p>
    <w:p w14:paraId="26000000">
      <w:pPr>
        <w:ind/>
        <w:jc w:val="both"/>
        <w:rPr>
          <w:sz w:val="28"/>
        </w:rPr>
      </w:pPr>
      <w:r>
        <w:rPr>
          <w:sz w:val="24"/>
        </w:rPr>
        <w:t xml:space="preserve">_____________20 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г.    </w:t>
      </w:r>
    </w:p>
    <w:sectPr>
      <w:headerReference r:id="rId1" w:type="default"/>
      <w:pgSz w:h="16838" w:orient="portrait" w:w="11906"/>
      <w:pgMar w:bottom="851" w:footer="709" w:gutter="0" w:header="709" w:left="1701" w:right="84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sz w:val="28"/>
      </w:rPr>
    </w:pPr>
  </w:p>
  <w:p w14:paraId="02000000">
    <w:pPr>
      <w:pStyle w:val="Style_1"/>
      <w:ind/>
      <w:jc w:val="right"/>
      <w:rPr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720" w:left="720"/>
      </w:pPr>
    </w:lvl>
    <w:lvl w:ilvl="1">
      <w:start w:val="1"/>
      <w:numFmt w:val="decimal"/>
      <w:pStyle w:val="Style_36"/>
      <w:lvlText w:val="%2."/>
      <w:lvlJc w:val="left"/>
      <w:pPr>
        <w:tabs>
          <w:tab w:leader="none" w:pos="1440" w:val="left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72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0"/>
    </w:rPr>
  </w:style>
  <w:style w:default="1" w:styleId="Style_2_ch" w:type="character">
    <w:name w:val="Normal"/>
    <w:link w:val="Style_2"/>
    <w:rPr>
      <w:rFonts w:ascii="Times New Roman" w:hAnsi="Times New Roman"/>
      <w:sz w:val="20"/>
    </w:rPr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</w:rPr>
  </w:style>
  <w:style w:styleId="Style_8_ch" w:type="character">
    <w:name w:val="Endnote"/>
    <w:link w:val="Style_8"/>
    <w:rPr>
      <w:rFonts w:ascii="XO Thames" w:hAnsi="XO Thames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3" w:type="paragraph">
    <w:name w:val="Основной текст с отступом 21"/>
    <w:basedOn w:val="Style_2"/>
    <w:link w:val="Style_3_ch"/>
    <w:pPr>
      <w:ind w:firstLine="720" w:left="0"/>
    </w:pPr>
    <w:rPr>
      <w:sz w:val="24"/>
    </w:rPr>
  </w:style>
  <w:style w:styleId="Style_3_ch" w:type="character">
    <w:name w:val="Основной текст с отступом 21"/>
    <w:basedOn w:val="Style_2_ch"/>
    <w:link w:val="Style_3"/>
    <w:rPr>
      <w:sz w:val="24"/>
    </w:rPr>
  </w:style>
  <w:style w:styleId="Style_10" w:type="paragraph">
    <w:name w:val="HTML Preformatted"/>
    <w:basedOn w:val="Style_2"/>
    <w:link w:val="Style_10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10_ch" w:type="character">
    <w:name w:val="HTML Preformatted"/>
    <w:basedOn w:val="Style_2_ch"/>
    <w:link w:val="Style_10"/>
    <w:rPr>
      <w:rFonts w:ascii="Courier New" w:hAnsi="Courier New"/>
    </w:rPr>
  </w:style>
  <w:style w:styleId="Style_11" w:type="paragraph">
    <w:name w:val="Интернет-ссылка"/>
    <w:link w:val="Style_11_ch"/>
    <w:rPr>
      <w:color w:val="000080"/>
      <w:u w:val="single"/>
    </w:rPr>
  </w:style>
  <w:style w:styleId="Style_11_ch" w:type="character">
    <w:name w:val="Интернет-ссылка"/>
    <w:link w:val="Style_11"/>
    <w:rPr>
      <w:color w:val="000080"/>
      <w:u w:val="single"/>
    </w:rPr>
  </w:style>
  <w:style w:styleId="Style_12" w:type="paragraph">
    <w:name w:val="Гиперссылка1"/>
    <w:link w:val="Style_12_ch"/>
    <w:rPr>
      <w:color w:val="000080"/>
      <w:u w:val="single"/>
    </w:rPr>
  </w:style>
  <w:style w:styleId="Style_12_ch" w:type="character">
    <w:name w:val="Гиперссылка1"/>
    <w:link w:val="Style_12"/>
    <w:rPr>
      <w:color w:val="000080"/>
      <w:u w:val="single"/>
    </w:rPr>
  </w:style>
  <w:style w:styleId="Style_13" w:type="paragraph">
    <w:name w:val="toc 3"/>
    <w:next w:val="Style_2"/>
    <w:link w:val="Style_13_ch"/>
    <w:uiPriority w:val="39"/>
    <w:pPr>
      <w:ind w:firstLine="0"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Основной шрифт абзаца1"/>
    <w:link w:val="Style_14_ch"/>
  </w:style>
  <w:style w:styleId="Style_14_ch" w:type="character">
    <w:name w:val="Основной шрифт абзаца1"/>
    <w:link w:val="Style_14"/>
  </w:style>
  <w:style w:styleId="Style_15" w:type="paragraph">
    <w:name w:val="List Paragraph"/>
    <w:basedOn w:val="Style_2"/>
    <w:link w:val="Style_15_ch"/>
    <w:pPr>
      <w:ind w:firstLine="0" w:left="720"/>
      <w:contextualSpacing w:val="1"/>
    </w:pPr>
  </w:style>
  <w:style w:styleId="Style_15_ch" w:type="character">
    <w:name w:val="List Paragraph"/>
    <w:basedOn w:val="Style_2_ch"/>
    <w:link w:val="Style_15"/>
  </w:style>
  <w:style w:styleId="Style_16" w:type="paragraph">
    <w:name w:val="Текст1"/>
    <w:basedOn w:val="Style_2"/>
    <w:link w:val="Style_16_ch"/>
    <w:rPr>
      <w:rFonts w:ascii="Courier New" w:hAnsi="Courier New"/>
    </w:rPr>
  </w:style>
  <w:style w:styleId="Style_16_ch" w:type="character">
    <w:name w:val="Текст1"/>
    <w:basedOn w:val="Style_2_ch"/>
    <w:link w:val="Style_16"/>
    <w:rPr>
      <w:rFonts w:ascii="Courier New" w:hAnsi="Courier New"/>
    </w:rPr>
  </w:style>
  <w:style w:styleId="Style_17" w:type="paragraph">
    <w:name w:val="heading 5"/>
    <w:next w:val="Style_2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_ch" w:type="character">
    <w:name w:val="heading 5"/>
    <w:link w:val="Style_17"/>
    <w:rPr>
      <w:rFonts w:ascii="XO Thames" w:hAnsi="XO Thames"/>
      <w:b w:val="1"/>
    </w:rPr>
  </w:style>
  <w:style w:styleId="Style_18" w:type="paragraph">
    <w:name w:val="ConsPlusNormal"/>
    <w:link w:val="Style_18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18_ch" w:type="character">
    <w:name w:val="ConsPlusNormal"/>
    <w:link w:val="Style_18"/>
    <w:rPr>
      <w:rFonts w:ascii="Arial" w:hAnsi="Arial"/>
      <w:sz w:val="20"/>
    </w:rPr>
  </w:style>
  <w:style w:styleId="Style_19" w:type="paragraph">
    <w:name w:val="heading 1"/>
    <w:next w:val="Style_2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footer"/>
    <w:basedOn w:val="Style_2"/>
    <w:link w:val="Style_20_ch"/>
    <w:pPr>
      <w:tabs>
        <w:tab w:leader="none" w:pos="4677" w:val="center"/>
        <w:tab w:leader="none" w:pos="9355" w:val="right"/>
      </w:tabs>
      <w:ind/>
    </w:pPr>
  </w:style>
  <w:style w:styleId="Style_20_ch" w:type="character">
    <w:name w:val="footer"/>
    <w:basedOn w:val="Style_2_ch"/>
    <w:link w:val="Style_20"/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</w:rPr>
  </w:style>
  <w:style w:styleId="Style_22_ch" w:type="character">
    <w:name w:val="Footnote"/>
    <w:link w:val="Style_22"/>
    <w:rPr>
      <w:rFonts w:ascii="XO Thames" w:hAnsi="XO Thames"/>
    </w:rPr>
  </w:style>
  <w:style w:styleId="Style_23" w:type="paragraph">
    <w:name w:val="toc 1"/>
    <w:next w:val="Style_2"/>
    <w:link w:val="Style_23_ch"/>
    <w:uiPriority w:val="39"/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Body Text"/>
    <w:basedOn w:val="Style_2"/>
    <w:link w:val="Style_26_ch"/>
    <w:pPr>
      <w:widowControl w:val="0"/>
      <w:spacing w:after="140" w:line="288" w:lineRule="auto"/>
      <w:ind/>
    </w:pPr>
    <w:rPr>
      <w:color w:val="00000A"/>
      <w:sz w:val="24"/>
    </w:rPr>
  </w:style>
  <w:style w:styleId="Style_26_ch" w:type="character">
    <w:name w:val="Body Text"/>
    <w:basedOn w:val="Style_2_ch"/>
    <w:link w:val="Style_26"/>
    <w:rPr>
      <w:color w:val="00000A"/>
      <w:sz w:val="24"/>
    </w:rPr>
  </w:style>
  <w:style w:styleId="Style_27" w:type="paragraph">
    <w:name w:val="toc 9"/>
    <w:next w:val="Style_2"/>
    <w:link w:val="Style_27_ch"/>
    <w:uiPriority w:val="39"/>
    <w:pPr>
      <w:ind w:firstLine="0" w:left="1600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2"/>
    <w:link w:val="Style_28_ch"/>
    <w:uiPriority w:val="39"/>
    <w:pPr>
      <w:ind w:firstLine="0"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Знак Знак"/>
    <w:basedOn w:val="Style_2"/>
    <w:link w:val="Style_29_ch"/>
    <w:pPr>
      <w:spacing w:afterAutospacing="on" w:beforeAutospacing="on"/>
      <w:ind/>
    </w:pPr>
    <w:rPr>
      <w:rFonts w:ascii="Tahoma" w:hAnsi="Tahoma"/>
    </w:rPr>
  </w:style>
  <w:style w:styleId="Style_29_ch" w:type="character">
    <w:name w:val="Знак Знак"/>
    <w:basedOn w:val="Style_2_ch"/>
    <w:link w:val="Style_29"/>
    <w:rPr>
      <w:rFonts w:ascii="Tahoma" w:hAnsi="Tahoma"/>
    </w:rPr>
  </w:style>
  <w:style w:styleId="Style_30" w:type="paragraph">
    <w:name w:val="toc 5"/>
    <w:next w:val="Style_2"/>
    <w:link w:val="Style_30_ch"/>
    <w:uiPriority w:val="39"/>
    <w:pPr>
      <w:ind w:firstLine="0" w:left="800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Знак"/>
    <w:basedOn w:val="Style_2"/>
    <w:link w:val="Style_31_ch"/>
    <w:pPr>
      <w:spacing w:after="160" w:line="240" w:lineRule="exact"/>
      <w:ind/>
    </w:pPr>
    <w:rPr>
      <w:rFonts w:ascii="Verdana" w:hAnsi="Verdana"/>
    </w:rPr>
  </w:style>
  <w:style w:styleId="Style_31_ch" w:type="character">
    <w:name w:val="Знак"/>
    <w:basedOn w:val="Style_2_ch"/>
    <w:link w:val="Style_31"/>
    <w:rPr>
      <w:rFonts w:ascii="Verdana" w:hAnsi="Verdana"/>
    </w:rPr>
  </w:style>
  <w:style w:styleId="Style_32" w:type="paragraph">
    <w:name w:val="Balloon Text"/>
    <w:basedOn w:val="Style_2"/>
    <w:link w:val="Style_32_ch"/>
    <w:rPr>
      <w:rFonts w:ascii="Segoe UI" w:hAnsi="Segoe UI"/>
      <w:sz w:val="18"/>
    </w:rPr>
  </w:style>
  <w:style w:styleId="Style_32_ch" w:type="character">
    <w:name w:val="Balloon Text"/>
    <w:basedOn w:val="Style_2_ch"/>
    <w:link w:val="Style_32"/>
    <w:rPr>
      <w:rFonts w:ascii="Segoe UI" w:hAnsi="Segoe UI"/>
      <w:sz w:val="18"/>
    </w:rPr>
  </w:style>
  <w:style w:styleId="Style_33" w:type="paragraph">
    <w:name w:val="Subtitle"/>
    <w:next w:val="Style_2"/>
    <w:link w:val="Style_3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2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2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basedOn w:val="Style_2"/>
    <w:next w:val="Style_2"/>
    <w:link w:val="Style_36_ch"/>
    <w:uiPriority w:val="9"/>
    <w:qFormat/>
    <w:pPr>
      <w:keepNext w:val="1"/>
      <w:numPr>
        <w:ilvl w:val="1"/>
        <w:numId w:val="1"/>
      </w:numPr>
      <w:ind/>
      <w:jc w:val="center"/>
      <w:outlineLvl w:val="1"/>
    </w:pPr>
    <w:rPr>
      <w:b w:val="1"/>
      <w:sz w:val="24"/>
    </w:rPr>
  </w:style>
  <w:style w:styleId="Style_36_ch" w:type="character">
    <w:name w:val="heading 2"/>
    <w:basedOn w:val="Style_2_ch"/>
    <w:link w:val="Style_36"/>
    <w:rPr>
      <w:b w:val="1"/>
      <w:sz w:val="24"/>
    </w:rPr>
  </w:style>
  <w:style w:styleId="Style_37" w:type="paragraph">
    <w:name w:val="Обычный1"/>
    <w:link w:val="Style_37_ch"/>
    <w:rPr>
      <w:rFonts w:ascii="Times New Roman" w:hAnsi="Times New Roman"/>
      <w:sz w:val="20"/>
    </w:rPr>
  </w:style>
  <w:style w:styleId="Style_37_ch" w:type="character">
    <w:name w:val="Обычный1"/>
    <w:link w:val="Style_37"/>
    <w:rPr>
      <w:rFonts w:ascii="Times New Roman" w:hAnsi="Times New Roman"/>
      <w:sz w:val="20"/>
    </w:rPr>
  </w:style>
  <w:style w:default="1" w:styleId="Style_3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2026-09-15T15:00:27Z</dcterms:modified>
</cp:coreProperties>
</file>