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48D" w:rsidRDefault="00CB2B30" w:rsidP="00184E7C">
      <w:pPr>
        <w:spacing w:after="1" w:line="228" w:lineRule="auto"/>
        <w:ind w:left="25" w:right="15" w:hanging="10"/>
        <w:jc w:val="center"/>
      </w:pPr>
      <w:r>
        <w:rPr>
          <w:b/>
        </w:rPr>
        <w:t>Информация о мерах поддержки налогоплательщиков, пострадавших в результате ЧС, по предоставлению отсрочки или рассрочки на уплату</w:t>
      </w:r>
    </w:p>
    <w:p w:rsidR="0046148D" w:rsidRDefault="00CB2B30" w:rsidP="00184E7C">
      <w:pPr>
        <w:spacing w:after="1" w:line="228" w:lineRule="auto"/>
        <w:ind w:left="25" w:hanging="10"/>
        <w:jc w:val="center"/>
      </w:pPr>
      <w:r>
        <w:rPr>
          <w:b/>
        </w:rPr>
        <w:t>налоговых платежей</w:t>
      </w:r>
    </w:p>
    <w:p w:rsidR="007839A5" w:rsidRDefault="007839A5" w:rsidP="00184E7C">
      <w:pPr>
        <w:spacing w:after="1" w:line="228" w:lineRule="auto"/>
        <w:ind w:left="25" w:hanging="10"/>
        <w:jc w:val="center"/>
      </w:pPr>
    </w:p>
    <w:p w:rsidR="00B16BFD" w:rsidRDefault="007839A5" w:rsidP="00184E7C">
      <w:pPr>
        <w:spacing w:line="228" w:lineRule="auto"/>
        <w:ind w:left="15" w:right="-15"/>
      </w:pPr>
      <w:r>
        <w:t>Налогоплательщики имеют право получать отсрочку в порядке и на условиях, установленных Налоговым кодексом Российской Федерации (далее – НК РФ).</w:t>
      </w:r>
    </w:p>
    <w:p w:rsidR="007839A5" w:rsidRDefault="007839A5" w:rsidP="00184E7C">
      <w:pPr>
        <w:spacing w:line="228" w:lineRule="auto"/>
        <w:ind w:left="15" w:right="-15"/>
      </w:pPr>
      <w:r>
        <w:t xml:space="preserve">Порядок, основания и условия получения налогоплательщиками отсрочки </w:t>
      </w:r>
      <w:r w:rsidR="00B77AD7">
        <w:br/>
      </w:r>
      <w:r>
        <w:t xml:space="preserve">по уплате задолженности по налогам, сборам и страховым взносам в бюджеты бюджетной системы Российской Федерации и налогов, срок уплаты которых </w:t>
      </w:r>
      <w:r w:rsidR="00B77AD7">
        <w:br/>
      </w:r>
      <w:r>
        <w:t>не наступил, установлены статьями 61-64 главы 9 НК РФ.</w:t>
      </w:r>
    </w:p>
    <w:p w:rsidR="0046148D" w:rsidRDefault="007839A5" w:rsidP="00184E7C">
      <w:pPr>
        <w:spacing w:line="228" w:lineRule="auto"/>
        <w:ind w:right="-15" w:firstLine="703"/>
      </w:pPr>
      <w:r>
        <w:t>Основанием для предоставления о</w:t>
      </w:r>
      <w:r w:rsidR="00CB2B30">
        <w:t xml:space="preserve">тсрочка </w:t>
      </w:r>
      <w:r>
        <w:t>(</w:t>
      </w:r>
      <w:r w:rsidR="00CB2B30">
        <w:t>рассрочк</w:t>
      </w:r>
      <w:r>
        <w:t>и) согласно пункту 2 статьи 64 НК РФ является наличие следующих</w:t>
      </w:r>
      <w:r w:rsidR="00CB2B30">
        <w:t xml:space="preserve"> </w:t>
      </w:r>
      <w:r>
        <w:t>факторов:</w:t>
      </w:r>
    </w:p>
    <w:p w:rsidR="0046148D" w:rsidRDefault="007839A5" w:rsidP="00184E7C">
      <w:pPr>
        <w:spacing w:line="228" w:lineRule="auto"/>
        <w:ind w:right="-15" w:firstLine="567"/>
      </w:pPr>
      <w:r>
        <w:t xml:space="preserve">- </w:t>
      </w:r>
      <w:r w:rsidR="00CB2B30" w:rsidRPr="00B77AD7">
        <w:rPr>
          <w:b/>
        </w:rPr>
        <w:t>причинение этому налогоплательщику ущерба в результате стихийного бедствия или технологической катастрофы</w:t>
      </w:r>
      <w:r>
        <w:t xml:space="preserve"> (наводнение, пожар, авария </w:t>
      </w:r>
      <w:r w:rsidR="006C4601">
        <w:br/>
      </w:r>
      <w:r>
        <w:t>на производстве). Требуется акт оценки причиненного ущерба от уполномоченного органа (например, МЧС);</w:t>
      </w:r>
      <w:r w:rsidR="00CB2B30">
        <w:t xml:space="preserve"> </w:t>
      </w:r>
    </w:p>
    <w:p w:rsidR="0046148D" w:rsidRDefault="00ED0E16" w:rsidP="00184E7C">
      <w:pPr>
        <w:spacing w:line="228" w:lineRule="auto"/>
        <w:ind w:right="-15"/>
      </w:pPr>
      <w:r>
        <w:t xml:space="preserve">- </w:t>
      </w:r>
      <w:proofErr w:type="spellStart"/>
      <w:r w:rsidR="00CB2B30" w:rsidRPr="00AA1BA7">
        <w:rPr>
          <w:b/>
        </w:rPr>
        <w:t>недоведение</w:t>
      </w:r>
      <w:proofErr w:type="spellEnd"/>
      <w:r w:rsidRPr="00AA1BA7">
        <w:rPr>
          <w:b/>
        </w:rPr>
        <w:t xml:space="preserve"> </w:t>
      </w:r>
      <w:r w:rsidR="00CB2B30" w:rsidRPr="00AA1BA7">
        <w:rPr>
          <w:b/>
        </w:rPr>
        <w:t xml:space="preserve">предельных объемов финансирования расходов </w:t>
      </w:r>
      <w:r w:rsidR="00B77AD7" w:rsidRPr="00AA1BA7">
        <w:rPr>
          <w:b/>
        </w:rPr>
        <w:br/>
      </w:r>
      <w:r w:rsidR="00CB2B30" w:rsidRPr="00AA1BA7">
        <w:rPr>
          <w:b/>
        </w:rPr>
        <w:t>до заинтересованного лица - получателя бюджетных средств в объеме, достаточном для своевременной уплаты налогов, а также несвоевременное перечисление заинтересованному лицу из бюджета денежных средств в объеме, достаточном для своевременной уплаты этим лицом налогов, в том числе в счет оплаты, оказанных этим лицом услуг для госуда</w:t>
      </w:r>
      <w:r w:rsidRPr="00AA1BA7">
        <w:rPr>
          <w:b/>
        </w:rPr>
        <w:t>рственных и муниципальных нужд</w:t>
      </w:r>
      <w:r>
        <w:t>;</w:t>
      </w:r>
    </w:p>
    <w:p w:rsidR="0046148D" w:rsidRDefault="00ED0E16" w:rsidP="00184E7C">
      <w:pPr>
        <w:spacing w:line="228" w:lineRule="auto"/>
        <w:ind w:right="-15" w:firstLine="709"/>
      </w:pPr>
      <w:r>
        <w:t xml:space="preserve">- </w:t>
      </w:r>
      <w:r w:rsidR="00CB2B30" w:rsidRPr="00B77AD7">
        <w:rPr>
          <w:b/>
        </w:rPr>
        <w:t>угроза возникновения признаков несостоятельности (банкротства)</w:t>
      </w:r>
      <w:r w:rsidR="00CB2B30">
        <w:t xml:space="preserve"> заинтересованного лица в случае единовременной уплаты им налога</w:t>
      </w:r>
      <w:r>
        <w:t>;</w:t>
      </w:r>
    </w:p>
    <w:p w:rsidR="0046148D" w:rsidRDefault="00ED0E16" w:rsidP="00184E7C">
      <w:pPr>
        <w:spacing w:line="228" w:lineRule="auto"/>
        <w:ind w:right="-15" w:firstLine="703"/>
      </w:pPr>
      <w:r>
        <w:t xml:space="preserve">- </w:t>
      </w:r>
      <w:r w:rsidR="00CB2B30" w:rsidRPr="00B77AD7">
        <w:rPr>
          <w:b/>
        </w:rPr>
        <w:t>производство и реализация товаров, работ или услуг заинтересованны</w:t>
      </w:r>
      <w:r w:rsidR="00B77AD7" w:rsidRPr="00B77AD7">
        <w:rPr>
          <w:b/>
        </w:rPr>
        <w:t>м лицом носит сезонный характер</w:t>
      </w:r>
      <w:r w:rsidR="00B77AD7">
        <w:t>;</w:t>
      </w:r>
      <w:r w:rsidR="00CB2B30">
        <w:t xml:space="preserve"> </w:t>
      </w:r>
    </w:p>
    <w:p w:rsidR="00ED0E16" w:rsidRDefault="00ED0E16" w:rsidP="00184E7C">
      <w:pPr>
        <w:spacing w:line="228" w:lineRule="auto"/>
        <w:ind w:right="-15" w:firstLine="703"/>
      </w:pPr>
      <w:r>
        <w:t xml:space="preserve">- </w:t>
      </w:r>
      <w:r w:rsidRPr="00AA1BA7">
        <w:rPr>
          <w:b/>
        </w:rPr>
        <w:t>наличие оснований, связанных с перемещением товаров через границу Евразийского экономического союза</w:t>
      </w:r>
      <w:r>
        <w:t xml:space="preserve"> (ЕАЭС);</w:t>
      </w:r>
    </w:p>
    <w:p w:rsidR="0046148D" w:rsidRDefault="00ED0E16" w:rsidP="00184E7C">
      <w:pPr>
        <w:spacing w:line="228" w:lineRule="auto"/>
        <w:ind w:right="-15" w:firstLine="709"/>
      </w:pPr>
      <w:r>
        <w:t xml:space="preserve">- </w:t>
      </w:r>
      <w:r w:rsidR="00CB2B30" w:rsidRPr="00AA1BA7">
        <w:rPr>
          <w:b/>
        </w:rPr>
        <w:t xml:space="preserve">невозможность единовременной уплаты сумм налогов, подлежащих уплате в бюджетную систему Российской Федерации по </w:t>
      </w:r>
      <w:r w:rsidR="00B77AD7" w:rsidRPr="00AA1BA7">
        <w:rPr>
          <w:b/>
        </w:rPr>
        <w:t>результатам налоговой проверки</w:t>
      </w:r>
      <w:r w:rsidR="00B77AD7">
        <w:t>.</w:t>
      </w:r>
    </w:p>
    <w:p w:rsidR="0046148D" w:rsidRDefault="00CB2B30" w:rsidP="00184E7C">
      <w:pPr>
        <w:spacing w:line="228" w:lineRule="auto"/>
        <w:ind w:left="15" w:right="-15"/>
      </w:pPr>
      <w:r w:rsidRPr="00B77AD7">
        <w:t>При этом предоставление отсрочки или рассрочки не отменяет существующей и не создает новой обязанности по уплате налогов.</w:t>
      </w:r>
      <w:r>
        <w:t xml:space="preserve"> </w:t>
      </w:r>
    </w:p>
    <w:p w:rsidR="00851B54" w:rsidRPr="004427CE" w:rsidRDefault="00851B54" w:rsidP="00184E7C">
      <w:pPr>
        <w:spacing w:line="228" w:lineRule="auto"/>
        <w:ind w:left="17" w:right="-17" w:firstLine="686"/>
      </w:pPr>
      <w:r w:rsidRPr="004427CE">
        <w:t xml:space="preserve">С 01.04.2026 в рамках проводимых мероприятий по централизации отдельных функций взыскания (урегулирования) задолженности, расчетов с бюджетом </w:t>
      </w:r>
      <w:r w:rsidR="004427CE" w:rsidRPr="004427CE">
        <w:br/>
      </w:r>
      <w:r w:rsidRPr="004427CE">
        <w:t xml:space="preserve">и обеспечения процедур банкротства ФНС России </w:t>
      </w:r>
      <w:r w:rsidRPr="00184E7C">
        <w:rPr>
          <w:b/>
        </w:rPr>
        <w:t>полномочия по рассмотрению заявлений и принятию решений о предоставлении отсрочки</w:t>
      </w:r>
      <w:r w:rsidRPr="004427CE">
        <w:t xml:space="preserve"> (рассрочки) переданы</w:t>
      </w:r>
      <w:r w:rsidR="00184E7C">
        <w:t xml:space="preserve"> </w:t>
      </w:r>
      <w:r w:rsidRPr="00184E7C">
        <w:rPr>
          <w:b/>
        </w:rPr>
        <w:t>в Центр компетенции</w:t>
      </w:r>
      <w:r w:rsidRPr="004427CE">
        <w:t xml:space="preserve"> «Площадка реструктуризации долга», полномочия </w:t>
      </w:r>
      <w:r w:rsidR="004427CE" w:rsidRPr="004427CE">
        <w:br/>
      </w:r>
      <w:r w:rsidRPr="004427CE">
        <w:t xml:space="preserve">по инициированию подачи заявлений в Арбитражный суд о введении процедуры банкротства в отношении должников – </w:t>
      </w:r>
      <w:r w:rsidRPr="00184E7C">
        <w:rPr>
          <w:b/>
        </w:rPr>
        <w:t>в Центр компетенции</w:t>
      </w:r>
      <w:r w:rsidRPr="004427CE">
        <w:t xml:space="preserve"> «Инициирование процедуры банкротства».</w:t>
      </w:r>
    </w:p>
    <w:p w:rsidR="00851B54" w:rsidRPr="004427CE" w:rsidRDefault="00851B54" w:rsidP="00184E7C">
      <w:pPr>
        <w:spacing w:line="228" w:lineRule="auto"/>
        <w:ind w:left="17" w:right="-17" w:firstLine="686"/>
      </w:pPr>
      <w:r w:rsidRPr="004427CE">
        <w:t>Вышеуказанные центры компетенций созданы в субъектах Российской Федерации на базе действующих территориальных органов ФНС России.</w:t>
      </w:r>
    </w:p>
    <w:p w:rsidR="0046148D" w:rsidRDefault="00CB2B30" w:rsidP="00184E7C">
      <w:pPr>
        <w:spacing w:line="228" w:lineRule="auto"/>
        <w:ind w:left="15" w:right="-15"/>
      </w:pPr>
      <w:r>
        <w:t xml:space="preserve">К заявлению прилагаются документы, предусмотренные пунктами 4, 5 статьи 64 Кодекса. </w:t>
      </w:r>
    </w:p>
    <w:p w:rsidR="006C4601" w:rsidRPr="00F567AE" w:rsidRDefault="006C4601" w:rsidP="00184E7C">
      <w:pPr>
        <w:spacing w:after="5" w:line="228" w:lineRule="auto"/>
        <w:ind w:left="-15" w:firstLine="698"/>
        <w:rPr>
          <w:szCs w:val="28"/>
        </w:rPr>
      </w:pPr>
      <w:r>
        <w:rPr>
          <w:szCs w:val="28"/>
        </w:rPr>
        <w:t>Решение о предоставлении (или отказе в предоставлении) отсроч</w:t>
      </w:r>
      <w:r w:rsidRPr="00F567AE">
        <w:rPr>
          <w:szCs w:val="28"/>
        </w:rPr>
        <w:t xml:space="preserve">ки </w:t>
      </w:r>
      <w:r w:rsidR="004427CE">
        <w:rPr>
          <w:szCs w:val="28"/>
        </w:rPr>
        <w:br/>
      </w:r>
      <w:r w:rsidRPr="00F567AE">
        <w:rPr>
          <w:szCs w:val="28"/>
        </w:rPr>
        <w:t xml:space="preserve">или рассрочки </w:t>
      </w:r>
      <w:r>
        <w:rPr>
          <w:szCs w:val="28"/>
        </w:rPr>
        <w:t xml:space="preserve">принимается в течение 10 рабочих дней со дня получения заявления </w:t>
      </w:r>
      <w:r w:rsidRPr="00F567AE">
        <w:rPr>
          <w:szCs w:val="28"/>
        </w:rPr>
        <w:lastRenderedPageBreak/>
        <w:t>уполномоченны</w:t>
      </w:r>
      <w:r>
        <w:rPr>
          <w:szCs w:val="28"/>
        </w:rPr>
        <w:t xml:space="preserve">м налоговым </w:t>
      </w:r>
      <w:r w:rsidRPr="00F567AE">
        <w:rPr>
          <w:szCs w:val="28"/>
        </w:rPr>
        <w:t>орган</w:t>
      </w:r>
      <w:r>
        <w:rPr>
          <w:szCs w:val="28"/>
        </w:rPr>
        <w:t xml:space="preserve">ом. </w:t>
      </w:r>
      <w:r w:rsidR="00AA1BA7">
        <w:rPr>
          <w:szCs w:val="28"/>
        </w:rPr>
        <w:t>При</w:t>
      </w:r>
      <w:r w:rsidRPr="00F567AE">
        <w:rPr>
          <w:szCs w:val="28"/>
        </w:rPr>
        <w:t xml:space="preserve"> необходимости </w:t>
      </w:r>
      <w:r>
        <w:rPr>
          <w:szCs w:val="28"/>
        </w:rPr>
        <w:t>запроса д</w:t>
      </w:r>
      <w:r w:rsidRPr="00F567AE">
        <w:rPr>
          <w:szCs w:val="28"/>
        </w:rPr>
        <w:t>ополнительн</w:t>
      </w:r>
      <w:r>
        <w:rPr>
          <w:szCs w:val="28"/>
        </w:rPr>
        <w:t>ых</w:t>
      </w:r>
      <w:r w:rsidRPr="00F567AE">
        <w:rPr>
          <w:szCs w:val="28"/>
        </w:rPr>
        <w:t xml:space="preserve"> </w:t>
      </w:r>
      <w:r>
        <w:rPr>
          <w:szCs w:val="28"/>
        </w:rPr>
        <w:t>сведений</w:t>
      </w:r>
      <w:r w:rsidRPr="00F567AE">
        <w:rPr>
          <w:szCs w:val="28"/>
        </w:rPr>
        <w:t xml:space="preserve"> срок</w:t>
      </w:r>
      <w:r>
        <w:rPr>
          <w:szCs w:val="28"/>
        </w:rPr>
        <w:t xml:space="preserve"> рассмотрения может быть приостановлен, но </w:t>
      </w:r>
      <w:r w:rsidRPr="00F567AE">
        <w:rPr>
          <w:szCs w:val="28"/>
        </w:rPr>
        <w:t xml:space="preserve">не более </w:t>
      </w:r>
      <w:r w:rsidR="00AA1BA7">
        <w:rPr>
          <w:szCs w:val="28"/>
        </w:rPr>
        <w:br/>
      </w:r>
      <w:r w:rsidRPr="00F567AE">
        <w:rPr>
          <w:szCs w:val="28"/>
        </w:rPr>
        <w:t xml:space="preserve">чем на 20 календарных дней. </w:t>
      </w:r>
    </w:p>
    <w:p w:rsidR="00F567AE" w:rsidRDefault="00F567AE" w:rsidP="00184E7C">
      <w:pPr>
        <w:spacing w:line="228" w:lineRule="auto"/>
        <w:ind w:left="15" w:right="-15"/>
      </w:pPr>
      <w:r>
        <w:t xml:space="preserve">Обращаем внимание, что отказ в предоставлении отсрочки (рассрочки) либо оставление заявления об отсрочке (рассрочке) без рассмотрения не препятствует повторному обращению в уполномоченный налоговый орган через личный кабинет налогоплательщика либо по телекоммуникационным каналам связи с заявлением </w:t>
      </w:r>
      <w:r w:rsidR="00CB2B30">
        <w:br/>
      </w:r>
      <w:r>
        <w:t xml:space="preserve">о предоставлении отсрочки (рассрочки) при наличии оснований, указанных в пункте 2 статьи 64 Кодекса, с приложением полного комплекта документов, в том числе </w:t>
      </w:r>
      <w:r w:rsidR="00CB2B30">
        <w:br/>
      </w:r>
      <w:r>
        <w:t>с указанием обеспечения исполнения обязанности по уплате налогов (банковской гарантии, залога недвижимого (иного ликвидного) имущества, поручительства платежеспособного лица).</w:t>
      </w:r>
    </w:p>
    <w:p w:rsidR="0046148D" w:rsidRDefault="00EC6556" w:rsidP="00184E7C">
      <w:pPr>
        <w:spacing w:line="228" w:lineRule="auto"/>
        <w:ind w:left="15" w:right="-15"/>
      </w:pPr>
      <w:r>
        <w:t>Кроме того, с</w:t>
      </w:r>
      <w:r w:rsidR="00CB2B30">
        <w:t xml:space="preserve">огласно пункту 1.3 статьи 284 Кодекса для сельскохозяйственных товаропроизводителей, отвечающих критериям, предусмотренным пунктом 2 статьи 346.2 Кодекса, налоговая ставка по налогу на прибыль организаций по деятельности, связанной с реализацией произведенной ими сельскохозяйственной продукции, </w:t>
      </w:r>
      <w:r w:rsidR="00CB2B30">
        <w:br/>
        <w:t xml:space="preserve">а также с реализацией, произведенной и переработанной данными налогоплательщиками собственной сельскохозяйственной продукции, устанавливается в размере 0 процентов. </w:t>
      </w:r>
    </w:p>
    <w:p w:rsidR="0046148D" w:rsidRDefault="00CB2B30" w:rsidP="00184E7C">
      <w:pPr>
        <w:spacing w:line="228" w:lineRule="auto"/>
        <w:ind w:left="15" w:right="-15"/>
      </w:pPr>
      <w:r>
        <w:t xml:space="preserve">Подпунктом 6 пункта 2 статьи 265 Кодекса предусмотрено, </w:t>
      </w:r>
      <w:r w:rsidR="00B77AD7">
        <w:br/>
      </w:r>
      <w:r>
        <w:t xml:space="preserve">что к внереализационным расходам приравниваются убытки, полученные налогоплательщиком в отчетном (налоговом) периоде в виде потери от стихийных бедствий, пожаров, аварий и других чрезвычайных ситуаций, включая затраты, связанные с предотвращением или ликвидацией последствий стихийных бедствий или чрезвычайных ситуаций. К таким потерям относится стоимость уничтоженных или испорченных запасов, товаров, материалов и иного имущества, принадлежащего организации. Убытки и затраты, связанные с предотвращением или ликвидацией последствий стихийных бедствий или чрезвычайных ситуаций, признаются для целей налогообложения в случае их документального подтверждения (пункт 1 статьи 252 Кодекса). </w:t>
      </w:r>
    </w:p>
    <w:p w:rsidR="0046148D" w:rsidRDefault="00CB2B30" w:rsidP="00184E7C">
      <w:pPr>
        <w:spacing w:line="228" w:lineRule="auto"/>
        <w:ind w:left="15" w:right="-15"/>
      </w:pPr>
      <w:r>
        <w:t xml:space="preserve">При применении специального налогового режима - единый сельскохозяйственный налог (ЕСХН) - полученные доходы в соответствии </w:t>
      </w:r>
      <w:r>
        <w:br/>
        <w:t xml:space="preserve">с подпунктом 44 пункта 2 статьи 346.5 Кодекса налогоплательщиками уменьшаются на расходы в виде потерь от стихийных бедствий, пожаров, аварий, эпизоотий </w:t>
      </w:r>
      <w:r>
        <w:br/>
        <w:t xml:space="preserve">и других чрезвычайных ситуаций, включая затраты, связанные с предотвращением </w:t>
      </w:r>
      <w:r>
        <w:br/>
        <w:t xml:space="preserve">и ликвидацией их последствий.  </w:t>
      </w:r>
    </w:p>
    <w:p w:rsidR="00AA1BA7" w:rsidRDefault="00CB2B30" w:rsidP="00184E7C">
      <w:pPr>
        <w:spacing w:after="389" w:line="228" w:lineRule="auto"/>
        <w:ind w:left="17" w:right="-17" w:firstLine="550"/>
        <w:contextualSpacing/>
      </w:pPr>
      <w:r>
        <w:t>По налогу на имущество организаций, если основное средство утрачивает свой статус, выбывает в результате стихийного бедствия и иной чрезвычайной ситуации, объект теряет способность приносить экономическую выгоду (доход), его стоимость списывается с бухгалтерского учета и исключается из объе</w:t>
      </w:r>
      <w:r w:rsidR="00AA1BA7">
        <w:t>ктов обложения.</w:t>
      </w:r>
    </w:p>
    <w:p w:rsidR="004427CE" w:rsidRDefault="00802FF3" w:rsidP="00184E7C">
      <w:pPr>
        <w:spacing w:after="389" w:line="228" w:lineRule="auto"/>
        <w:ind w:left="17" w:right="-17" w:firstLine="550"/>
        <w:contextualSpacing/>
      </w:pPr>
      <w:r>
        <w:rPr>
          <w:szCs w:val="28"/>
        </w:rPr>
        <w:t>И</w:t>
      </w:r>
      <w:r w:rsidR="00CB2B30" w:rsidRPr="00CB2B30">
        <w:rPr>
          <w:szCs w:val="28"/>
        </w:rPr>
        <w:t>нформаци</w:t>
      </w:r>
      <w:r>
        <w:rPr>
          <w:szCs w:val="28"/>
        </w:rPr>
        <w:t>я</w:t>
      </w:r>
      <w:r w:rsidR="00CB2B30" w:rsidRPr="00CB2B30">
        <w:rPr>
          <w:szCs w:val="28"/>
        </w:rPr>
        <w:t xml:space="preserve"> об условиях получения отсрочки (рассрочки) </w:t>
      </w:r>
      <w:r w:rsidR="00850F80">
        <w:rPr>
          <w:szCs w:val="28"/>
        </w:rPr>
        <w:t xml:space="preserve">размещена </w:t>
      </w:r>
      <w:r w:rsidR="00B77AD7">
        <w:rPr>
          <w:szCs w:val="28"/>
        </w:rPr>
        <w:br/>
      </w:r>
      <w:r w:rsidR="00CB2B30" w:rsidRPr="00CB2B30">
        <w:rPr>
          <w:szCs w:val="28"/>
        </w:rPr>
        <w:t>на официальном сайте ФНС России:</w:t>
      </w:r>
      <w:hyperlink r:id="rId7">
        <w:r w:rsidR="00CB2B30" w:rsidRPr="00CB2B30">
          <w:rPr>
            <w:szCs w:val="28"/>
          </w:rPr>
          <w:t xml:space="preserve"> </w:t>
        </w:r>
      </w:hyperlink>
      <w:hyperlink r:id="rId8">
        <w:r w:rsidR="00CB2B30" w:rsidRPr="00CB2B30">
          <w:rPr>
            <w:color w:val="0000FF"/>
            <w:szCs w:val="28"/>
            <w:u w:val="single" w:color="0000FF"/>
          </w:rPr>
          <w:t>htt</w:t>
        </w:r>
        <w:bookmarkStart w:id="0" w:name="_GoBack"/>
        <w:bookmarkEnd w:id="0"/>
        <w:r w:rsidR="00CB2B30" w:rsidRPr="00CB2B30">
          <w:rPr>
            <w:color w:val="0000FF"/>
            <w:szCs w:val="28"/>
            <w:u w:val="single" w:color="0000FF"/>
          </w:rPr>
          <w:t>ps://www.nalog.gov.ru</w:t>
        </w:r>
      </w:hyperlink>
      <w:r w:rsidR="00850F80">
        <w:rPr>
          <w:color w:val="0000FF"/>
          <w:szCs w:val="28"/>
          <w:u w:val="single" w:color="0000FF"/>
        </w:rPr>
        <w:t>.</w:t>
      </w:r>
      <w:r w:rsidR="00850F80">
        <w:rPr>
          <w:color w:val="0000FF"/>
          <w:szCs w:val="28"/>
        </w:rPr>
        <w:t xml:space="preserve"> </w:t>
      </w:r>
      <w:r w:rsidR="00850F80" w:rsidRPr="00850F80">
        <w:rPr>
          <w:color w:val="auto"/>
          <w:szCs w:val="28"/>
        </w:rPr>
        <w:t xml:space="preserve">Также налогоплательщик может воспользоваться </w:t>
      </w:r>
      <w:hyperlink r:id="rId9"/>
      <w:r w:rsidR="00850F80" w:rsidRPr="00850F80">
        <w:rPr>
          <w:color w:val="auto"/>
          <w:szCs w:val="28"/>
        </w:rPr>
        <w:t>помощью</w:t>
      </w:r>
      <w:r w:rsidR="00CB2B30" w:rsidRPr="00850F80">
        <w:rPr>
          <w:color w:val="auto"/>
          <w:szCs w:val="28"/>
        </w:rPr>
        <w:t xml:space="preserve"> сервиса «Интерактивный помощник в получении рассрочки по уплате налога»</w:t>
      </w:r>
      <w:r w:rsidR="00CB2B30" w:rsidRPr="00CB2B30">
        <w:rPr>
          <w:szCs w:val="28"/>
        </w:rPr>
        <w:t xml:space="preserve">: </w:t>
      </w:r>
      <w:hyperlink r:id="rId10">
        <w:r w:rsidR="00CB2B30" w:rsidRPr="00CB2B30">
          <w:rPr>
            <w:color w:val="0000FF"/>
            <w:szCs w:val="28"/>
            <w:u w:val="single" w:color="0000FF"/>
          </w:rPr>
          <w:t>https</w:t>
        </w:r>
      </w:hyperlink>
      <w:hyperlink r:id="rId11">
        <w:r w:rsidR="00CB2B30" w:rsidRPr="00CB2B30">
          <w:rPr>
            <w:color w:val="0000FF"/>
            <w:szCs w:val="28"/>
            <w:u w:val="single" w:color="0000FF"/>
          </w:rPr>
          <w:t>://</w:t>
        </w:r>
      </w:hyperlink>
      <w:hyperlink r:id="rId12">
        <w:r w:rsidR="00CB2B30" w:rsidRPr="00CB2B30">
          <w:rPr>
            <w:color w:val="0000FF"/>
            <w:szCs w:val="28"/>
            <w:u w:val="single" w:color="0000FF"/>
          </w:rPr>
          <w:t>www</w:t>
        </w:r>
      </w:hyperlink>
      <w:hyperlink r:id="rId13">
        <w:r w:rsidR="00CB2B30" w:rsidRPr="00CB2B30">
          <w:rPr>
            <w:color w:val="0000FF"/>
            <w:szCs w:val="28"/>
            <w:u w:val="single" w:color="0000FF"/>
          </w:rPr>
          <w:t>.</w:t>
        </w:r>
      </w:hyperlink>
      <w:hyperlink r:id="rId14">
        <w:r w:rsidR="00CB2B30" w:rsidRPr="00CB2B30">
          <w:rPr>
            <w:color w:val="0000FF"/>
            <w:szCs w:val="28"/>
            <w:u w:val="single" w:color="0000FF"/>
          </w:rPr>
          <w:t>nalog</w:t>
        </w:r>
      </w:hyperlink>
      <w:hyperlink r:id="rId15">
        <w:r w:rsidR="00CB2B30" w:rsidRPr="00CB2B30">
          <w:rPr>
            <w:color w:val="0000FF"/>
            <w:szCs w:val="28"/>
            <w:u w:val="single" w:color="0000FF"/>
          </w:rPr>
          <w:t>.</w:t>
        </w:r>
      </w:hyperlink>
      <w:hyperlink r:id="rId16">
        <w:r w:rsidR="00CB2B30" w:rsidRPr="00CB2B30">
          <w:rPr>
            <w:color w:val="0000FF"/>
            <w:szCs w:val="28"/>
            <w:u w:val="single" w:color="0000FF"/>
          </w:rPr>
          <w:t>gov</w:t>
        </w:r>
      </w:hyperlink>
      <w:hyperlink r:id="rId17">
        <w:r w:rsidR="00CB2B30" w:rsidRPr="00CB2B30">
          <w:rPr>
            <w:color w:val="0000FF"/>
            <w:szCs w:val="28"/>
            <w:u w:val="single" w:color="0000FF"/>
          </w:rPr>
          <w:t>.</w:t>
        </w:r>
      </w:hyperlink>
      <w:hyperlink r:id="rId18">
        <w:r w:rsidR="00CB2B30" w:rsidRPr="00CB2B30">
          <w:rPr>
            <w:color w:val="0000FF"/>
            <w:szCs w:val="28"/>
            <w:u w:val="single" w:color="0000FF"/>
          </w:rPr>
          <w:t>ru</w:t>
        </w:r>
      </w:hyperlink>
      <w:hyperlink r:id="rId19">
        <w:r w:rsidR="00CB2B30" w:rsidRPr="00CB2B30">
          <w:rPr>
            <w:color w:val="0000FF"/>
            <w:szCs w:val="28"/>
            <w:u w:val="single" w:color="0000FF"/>
          </w:rPr>
          <w:t>/</w:t>
        </w:r>
      </w:hyperlink>
      <w:hyperlink r:id="rId20">
        <w:r w:rsidR="00CB2B30" w:rsidRPr="00CB2B30">
          <w:rPr>
            <w:color w:val="0000FF"/>
            <w:szCs w:val="28"/>
            <w:u w:val="single" w:color="0000FF"/>
          </w:rPr>
          <w:t>rn</w:t>
        </w:r>
      </w:hyperlink>
      <w:hyperlink r:id="rId21">
        <w:r w:rsidR="00CB2B30" w:rsidRPr="00CB2B30">
          <w:rPr>
            <w:color w:val="0000FF"/>
            <w:szCs w:val="28"/>
            <w:u w:val="single" w:color="0000FF"/>
          </w:rPr>
          <w:t>77/</w:t>
        </w:r>
      </w:hyperlink>
      <w:hyperlink r:id="rId22">
        <w:r w:rsidR="00CB2B30" w:rsidRPr="00CB2B30">
          <w:rPr>
            <w:color w:val="0000FF"/>
            <w:szCs w:val="28"/>
            <w:u w:val="single" w:color="0000FF"/>
          </w:rPr>
          <w:t>rnp</w:t>
        </w:r>
      </w:hyperlink>
      <w:hyperlink r:id="rId23">
        <w:r w:rsidR="00CB2B30" w:rsidRPr="00CB2B30">
          <w:rPr>
            <w:color w:val="0000FF"/>
            <w:szCs w:val="28"/>
            <w:u w:val="single" w:color="0000FF"/>
          </w:rPr>
          <w:t>/</w:t>
        </w:r>
      </w:hyperlink>
    </w:p>
    <w:p w:rsidR="0046148D" w:rsidRPr="004427CE" w:rsidRDefault="00851B54" w:rsidP="00184E7C">
      <w:pPr>
        <w:spacing w:after="389" w:line="228" w:lineRule="auto"/>
        <w:ind w:left="17" w:right="-17" w:firstLine="550"/>
        <w:contextualSpacing/>
        <w:rPr>
          <w:szCs w:val="28"/>
        </w:rPr>
      </w:pPr>
      <w:r>
        <w:rPr>
          <w:i/>
          <w:sz w:val="20"/>
          <w:szCs w:val="20"/>
        </w:rPr>
        <w:t>И</w:t>
      </w:r>
      <w:r w:rsidR="00CB2B30" w:rsidRPr="00851B54">
        <w:rPr>
          <w:i/>
          <w:sz w:val="20"/>
          <w:szCs w:val="20"/>
        </w:rPr>
        <w:t>ны</w:t>
      </w:r>
      <w:r>
        <w:rPr>
          <w:i/>
          <w:sz w:val="20"/>
          <w:szCs w:val="20"/>
        </w:rPr>
        <w:t>е</w:t>
      </w:r>
      <w:r w:rsidR="00CB2B30" w:rsidRPr="00851B54">
        <w:rPr>
          <w:i/>
          <w:sz w:val="20"/>
          <w:szCs w:val="20"/>
        </w:rPr>
        <w:t xml:space="preserve"> (дополнительные) меры поддержки налогоплательщиков, пострадавших в результате чрезвычайных ситуаций, действующим налоговым законодательством не предусмотрены</w:t>
      </w:r>
      <w:r w:rsidR="00CB2B30" w:rsidRPr="00851B54">
        <w:rPr>
          <w:sz w:val="20"/>
          <w:szCs w:val="20"/>
        </w:rPr>
        <w:t xml:space="preserve">.  </w:t>
      </w:r>
    </w:p>
    <w:sectPr w:rsidR="0046148D" w:rsidRPr="004427CE" w:rsidSect="00184E7C">
      <w:footerReference w:type="default" r:id="rId24"/>
      <w:pgSz w:w="11906" w:h="16838"/>
      <w:pgMar w:top="426" w:right="565" w:bottom="0" w:left="11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CA6" w:rsidRDefault="00632CA6" w:rsidP="00632CA6">
      <w:pPr>
        <w:spacing w:after="0" w:line="240" w:lineRule="auto"/>
      </w:pPr>
      <w:r>
        <w:separator/>
      </w:r>
    </w:p>
  </w:endnote>
  <w:endnote w:type="continuationSeparator" w:id="0">
    <w:p w:rsidR="00632CA6" w:rsidRDefault="00632CA6" w:rsidP="00632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700536"/>
      <w:docPartObj>
        <w:docPartGallery w:val="Page Numbers (Bottom of Page)"/>
        <w:docPartUnique/>
      </w:docPartObj>
    </w:sdtPr>
    <w:sdtEndPr/>
    <w:sdtContent>
      <w:p w:rsidR="00632CA6" w:rsidRDefault="00632CA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E7C">
          <w:rPr>
            <w:noProof/>
          </w:rPr>
          <w:t>2</w:t>
        </w:r>
        <w:r>
          <w:fldChar w:fldCharType="end"/>
        </w:r>
      </w:p>
    </w:sdtContent>
  </w:sdt>
  <w:p w:rsidR="00632CA6" w:rsidRDefault="00632C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CA6" w:rsidRDefault="00632CA6" w:rsidP="00632CA6">
      <w:pPr>
        <w:spacing w:after="0" w:line="240" w:lineRule="auto"/>
      </w:pPr>
      <w:r>
        <w:separator/>
      </w:r>
    </w:p>
  </w:footnote>
  <w:footnote w:type="continuationSeparator" w:id="0">
    <w:p w:rsidR="00632CA6" w:rsidRDefault="00632CA6" w:rsidP="00632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852B50"/>
    <w:multiLevelType w:val="hybridMultilevel"/>
    <w:tmpl w:val="8C6E027E"/>
    <w:lvl w:ilvl="0" w:tplc="F2264ED8">
      <w:start w:val="1"/>
      <w:numFmt w:val="decimal"/>
      <w:lvlText w:val="%1)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7E2973A">
      <w:start w:val="1"/>
      <w:numFmt w:val="lowerLetter"/>
      <w:lvlText w:val="%2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D70941E">
      <w:start w:val="1"/>
      <w:numFmt w:val="lowerRoman"/>
      <w:lvlText w:val="%3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98441FC">
      <w:start w:val="1"/>
      <w:numFmt w:val="decimal"/>
      <w:lvlText w:val="%4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D5214E0">
      <w:start w:val="1"/>
      <w:numFmt w:val="lowerLetter"/>
      <w:lvlText w:val="%5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C04804E">
      <w:start w:val="1"/>
      <w:numFmt w:val="lowerRoman"/>
      <w:lvlText w:val="%6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06402">
      <w:start w:val="1"/>
      <w:numFmt w:val="decimal"/>
      <w:lvlText w:val="%7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0C8908A">
      <w:start w:val="1"/>
      <w:numFmt w:val="lowerLetter"/>
      <w:lvlText w:val="%8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FF87864">
      <w:start w:val="1"/>
      <w:numFmt w:val="lowerRoman"/>
      <w:lvlText w:val="%9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6640353"/>
    <w:multiLevelType w:val="hybridMultilevel"/>
    <w:tmpl w:val="82C069E6"/>
    <w:lvl w:ilvl="0" w:tplc="0C265386">
      <w:start w:val="1"/>
      <w:numFmt w:val="decimal"/>
      <w:lvlText w:val="%1)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E267D0C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8162868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6B4EB4E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E604E8A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7AAD5A2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7A6068A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A856C2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ADEF360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48D"/>
    <w:rsid w:val="00184E7C"/>
    <w:rsid w:val="004427CE"/>
    <w:rsid w:val="0046148D"/>
    <w:rsid w:val="00472872"/>
    <w:rsid w:val="00632CA6"/>
    <w:rsid w:val="006C4601"/>
    <w:rsid w:val="00706BF8"/>
    <w:rsid w:val="007839A5"/>
    <w:rsid w:val="007E4636"/>
    <w:rsid w:val="00802FF3"/>
    <w:rsid w:val="00850F80"/>
    <w:rsid w:val="00851B54"/>
    <w:rsid w:val="00AA1BA7"/>
    <w:rsid w:val="00B16BFD"/>
    <w:rsid w:val="00B77AD7"/>
    <w:rsid w:val="00CB2B30"/>
    <w:rsid w:val="00EC6556"/>
    <w:rsid w:val="00ED0E16"/>
    <w:rsid w:val="00F5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CCC36-2B15-4577-B1FC-E4FD5495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9" w:line="264" w:lineRule="auto"/>
      <w:ind w:firstLine="68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2CA6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632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2CA6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" TargetMode="External"/><Relationship Id="rId13" Type="http://schemas.openxmlformats.org/officeDocument/2006/relationships/hyperlink" Target="https://www.nalog.gov.ru/rn77/rnp/" TargetMode="External"/><Relationship Id="rId18" Type="http://schemas.openxmlformats.org/officeDocument/2006/relationships/hyperlink" Target="https://www.nalog.gov.ru/rn77/rnp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nalog.gov.ru/rn77/rnp/" TargetMode="External"/><Relationship Id="rId7" Type="http://schemas.openxmlformats.org/officeDocument/2006/relationships/hyperlink" Target="https://www.nalog.gov.ru/" TargetMode="External"/><Relationship Id="rId12" Type="http://schemas.openxmlformats.org/officeDocument/2006/relationships/hyperlink" Target="https://www.nalog.gov.ru/rn77/rnp/" TargetMode="External"/><Relationship Id="rId17" Type="http://schemas.openxmlformats.org/officeDocument/2006/relationships/hyperlink" Target="https://www.nalog.gov.ru/rn77/rnp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nalog.gov.ru/rn77/rnp/" TargetMode="External"/><Relationship Id="rId20" Type="http://schemas.openxmlformats.org/officeDocument/2006/relationships/hyperlink" Target="https://www.nalog.gov.ru/rn77/rnp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alog.gov.ru/rn77/rnp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nalog.gov.ru/rn77/rnp/" TargetMode="External"/><Relationship Id="rId23" Type="http://schemas.openxmlformats.org/officeDocument/2006/relationships/hyperlink" Target="https://www.nalog.gov.ru/rn77/rnp/" TargetMode="External"/><Relationship Id="rId10" Type="http://schemas.openxmlformats.org/officeDocument/2006/relationships/hyperlink" Target="https://www.nalog.gov.ru/rn77/rnp/" TargetMode="External"/><Relationship Id="rId19" Type="http://schemas.openxmlformats.org/officeDocument/2006/relationships/hyperlink" Target="https://www.nalog.gov.ru/rn77/rn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log.gov.ru/" TargetMode="External"/><Relationship Id="rId14" Type="http://schemas.openxmlformats.org/officeDocument/2006/relationships/hyperlink" Target="https://www.nalog.gov.ru/rn77/rnp/" TargetMode="External"/><Relationship Id="rId22" Type="http://schemas.openxmlformats.org/officeDocument/2006/relationships/hyperlink" Target="https://www.nalog.gov.ru/rn77/rn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6896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Belkina</dc:creator>
  <cp:keywords/>
  <cp:lastModifiedBy>Ткаченко Елена Ивановна</cp:lastModifiedBy>
  <cp:revision>11</cp:revision>
  <dcterms:created xsi:type="dcterms:W3CDTF">2025-09-09T13:35:00Z</dcterms:created>
  <dcterms:modified xsi:type="dcterms:W3CDTF">2026-05-25T07:28:00Z</dcterms:modified>
</cp:coreProperties>
</file>